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F59" w:rsidRPr="00D96091" w:rsidRDefault="00992F59" w:rsidP="00992F59">
      <w:pPr>
        <w:pStyle w:val="StandardWeb"/>
        <w:spacing w:before="0" w:beforeAutospacing="0" w:after="0" w:afterAutospacing="0"/>
        <w:jc w:val="center"/>
        <w:rPr>
          <w:rFonts w:asciiTheme="minorHAnsi" w:hAnsiTheme="minorHAnsi" w:cstheme="minorHAnsi"/>
          <w:b/>
          <w:bCs/>
          <w:sz w:val="22"/>
          <w:szCs w:val="22"/>
          <w:lang w:val="fr-FR"/>
        </w:rPr>
      </w:pPr>
      <w:r w:rsidRPr="00D96091">
        <w:rPr>
          <w:rFonts w:asciiTheme="minorHAnsi" w:hAnsiTheme="minorHAnsi" w:cstheme="minorHAnsi"/>
          <w:b/>
          <w:bCs/>
          <w:sz w:val="22"/>
          <w:szCs w:val="22"/>
          <w:lang w:val="fr-FR"/>
        </w:rPr>
        <w:t>Glossaire: Termes en anatomie du bois pour une détermination macroscopique des essences de bois</w:t>
      </w:r>
    </w:p>
    <w:p w:rsidR="00992F59" w:rsidRPr="00D96091" w:rsidRDefault="00992F59" w:rsidP="00992F59">
      <w:pPr>
        <w:pStyle w:val="StandardWeb"/>
        <w:spacing w:before="0" w:beforeAutospacing="0" w:after="0" w:afterAutospacing="0"/>
        <w:jc w:val="center"/>
        <w:rPr>
          <w:rFonts w:asciiTheme="minorHAnsi" w:hAnsiTheme="minorHAnsi" w:cstheme="minorHAnsi"/>
          <w:sz w:val="22"/>
          <w:szCs w:val="22"/>
          <w:lang w:val="fr-FR"/>
        </w:rPr>
      </w:pPr>
      <w:r w:rsidRPr="00D96091">
        <w:rPr>
          <w:rFonts w:asciiTheme="minorHAnsi" w:hAnsiTheme="minorHAnsi" w:cstheme="minorHAnsi"/>
          <w:sz w:val="22"/>
          <w:szCs w:val="22"/>
          <w:lang w:val="fr-FR"/>
        </w:rPr>
        <w:t xml:space="preserve"> (Selon le Comité de la Nomenclatu</w:t>
      </w:r>
      <w:bookmarkStart w:id="0" w:name="_GoBack"/>
      <w:bookmarkEnd w:id="0"/>
      <w:r w:rsidRPr="00D96091">
        <w:rPr>
          <w:rFonts w:asciiTheme="minorHAnsi" w:hAnsiTheme="minorHAnsi" w:cstheme="minorHAnsi"/>
          <w:sz w:val="22"/>
          <w:szCs w:val="22"/>
          <w:lang w:val="fr-FR"/>
        </w:rPr>
        <w:t xml:space="preserve">re d’International Association of Wood </w:t>
      </w:r>
      <w:proofErr w:type="spellStart"/>
      <w:r w:rsidRPr="00D96091">
        <w:rPr>
          <w:rFonts w:asciiTheme="minorHAnsi" w:hAnsiTheme="minorHAnsi" w:cstheme="minorHAnsi"/>
          <w:sz w:val="22"/>
          <w:szCs w:val="22"/>
          <w:lang w:val="fr-FR"/>
        </w:rPr>
        <w:t>Anatomists</w:t>
      </w:r>
      <w:proofErr w:type="spellEnd"/>
      <w:r w:rsidRPr="00D96091">
        <w:rPr>
          <w:rFonts w:asciiTheme="minorHAnsi" w:hAnsiTheme="minorHAnsi" w:cstheme="minorHAnsi"/>
          <w:sz w:val="22"/>
          <w:szCs w:val="22"/>
          <w:lang w:val="fr-FR"/>
        </w:rPr>
        <w:t>, IAWA)</w:t>
      </w:r>
    </w:p>
    <w:p w:rsidR="00992F59" w:rsidRPr="00D96091" w:rsidRDefault="00992F59" w:rsidP="00992F59">
      <w:pPr>
        <w:pStyle w:val="StandardWeb"/>
        <w:spacing w:before="0" w:beforeAutospacing="0" w:after="0" w:afterAutospacing="0"/>
        <w:rPr>
          <w:rFonts w:asciiTheme="minorHAnsi" w:hAnsiTheme="minorHAnsi" w:cstheme="minorHAnsi"/>
          <w:sz w:val="22"/>
          <w:szCs w:val="22"/>
          <w:lang w:val="fr-FR"/>
        </w:rPr>
      </w:pPr>
    </w:p>
    <w:p w:rsidR="00992F59" w:rsidRPr="00D96091" w:rsidRDefault="00992F59" w:rsidP="00992F59">
      <w:pPr>
        <w:pStyle w:val="StandardWeb"/>
        <w:spacing w:before="0" w:beforeAutospacing="0" w:after="0" w:afterAutospacing="0"/>
        <w:rPr>
          <w:rFonts w:asciiTheme="minorHAnsi" w:hAnsiTheme="minorHAnsi" w:cstheme="minorHAnsi"/>
          <w:sz w:val="22"/>
          <w:szCs w:val="22"/>
          <w:lang w:val="fr-FR"/>
        </w:rPr>
      </w:pPr>
    </w:p>
    <w:p w:rsidR="00992F59" w:rsidRPr="00D96091" w:rsidRDefault="00992F59" w:rsidP="00992F59">
      <w:pPr>
        <w:spacing w:after="0"/>
        <w:rPr>
          <w:rStyle w:val="tlid-translation"/>
          <w:rFonts w:cstheme="minorHAnsi"/>
          <w:lang w:val="fr-FR"/>
        </w:rPr>
      </w:pPr>
      <w:r w:rsidRPr="00D96091">
        <w:rPr>
          <w:rFonts w:eastAsia="Times New Roman" w:cstheme="minorHAnsi"/>
          <w:b/>
          <w:bCs/>
          <w:lang w:val="fr-FR" w:eastAsia="de-DE"/>
        </w:rPr>
        <w:t xml:space="preserve">Élément cellulaire: </w:t>
      </w:r>
      <w:r w:rsidRPr="00D96091">
        <w:rPr>
          <w:rFonts w:eastAsia="Times New Roman" w:cstheme="minorHAnsi"/>
          <w:lang w:val="fr-FR" w:eastAsia="de-DE"/>
        </w:rPr>
        <w:t xml:space="preserve">Terme général, employé́ pour désigner une cellule individuelle. </w:t>
      </w:r>
      <w:r w:rsidRPr="00D96091">
        <w:rPr>
          <w:rStyle w:val="tlid-translation"/>
          <w:rFonts w:cstheme="minorHAnsi"/>
          <w:lang w:val="fr-FR"/>
        </w:rPr>
        <w:t>Remarque: En anatomie du bois, cette expression est utilisée en particulier pour distinguer les vaisseaux et leurs composants individuels, les éléments du vaisseau</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pStyle w:val="StandardWeb"/>
        <w:spacing w:before="0" w:beforeAutospacing="0" w:after="0" w:afterAutospacing="0"/>
        <w:rPr>
          <w:rFonts w:asciiTheme="minorHAnsi" w:hAnsiTheme="minorHAnsi" w:cstheme="minorHAnsi"/>
          <w:sz w:val="22"/>
          <w:szCs w:val="22"/>
          <w:lang w:val="fr-FR"/>
        </w:rPr>
      </w:pPr>
      <w:r w:rsidRPr="00D96091">
        <w:rPr>
          <w:rFonts w:asciiTheme="minorHAnsi" w:hAnsiTheme="minorHAnsi" w:cstheme="minorHAnsi"/>
          <w:b/>
          <w:bCs/>
          <w:sz w:val="22"/>
          <w:szCs w:val="22"/>
          <w:lang w:val="fr-FR"/>
        </w:rPr>
        <w:t>Bois de c</w:t>
      </w:r>
      <w:hyperlink r:id="rId4" w:history="1">
        <w:r w:rsidRPr="00D96091">
          <w:rPr>
            <w:rStyle w:val="Hyperlink"/>
            <w:rFonts w:asciiTheme="minorHAnsi" w:hAnsiTheme="minorHAnsi" w:cstheme="minorHAnsi"/>
            <w:b/>
            <w:color w:val="auto"/>
            <w:sz w:val="22"/>
            <w:szCs w:val="22"/>
            <w:u w:val="none"/>
          </w:rPr>
          <w:t>œ</w:t>
        </w:r>
      </w:hyperlink>
      <w:proofErr w:type="spellStart"/>
      <w:r w:rsidRPr="00D96091">
        <w:rPr>
          <w:rFonts w:asciiTheme="minorHAnsi" w:hAnsiTheme="minorHAnsi" w:cstheme="minorHAnsi"/>
          <w:b/>
          <w:bCs/>
          <w:sz w:val="22"/>
          <w:szCs w:val="22"/>
          <w:lang w:val="fr-FR"/>
        </w:rPr>
        <w:t>ur</w:t>
      </w:r>
      <w:proofErr w:type="spellEnd"/>
      <w:r w:rsidRPr="00D96091">
        <w:rPr>
          <w:rFonts w:asciiTheme="minorHAnsi" w:hAnsiTheme="minorHAnsi" w:cstheme="minorHAnsi"/>
          <w:b/>
          <w:bCs/>
          <w:sz w:val="22"/>
          <w:szCs w:val="22"/>
          <w:lang w:val="fr-FR"/>
        </w:rPr>
        <w:t xml:space="preserve">: </w:t>
      </w:r>
      <w:r w:rsidRPr="00D96091">
        <w:rPr>
          <w:rFonts w:asciiTheme="minorHAnsi" w:hAnsiTheme="minorHAnsi" w:cstheme="minorHAnsi"/>
          <w:sz w:val="22"/>
          <w:szCs w:val="22"/>
          <w:lang w:val="fr-FR"/>
        </w:rPr>
        <w:t>Dans l'arbre vivant, couches internes de bois qui ne contiennent plus de cellules vivantes et dans lesquelles les matières de réserve (</w:t>
      </w:r>
      <w:r w:rsidRPr="00D96091">
        <w:rPr>
          <w:rStyle w:val="tlid-translation"/>
          <w:rFonts w:asciiTheme="minorHAnsi" w:hAnsiTheme="minorHAnsi" w:cstheme="minorHAnsi"/>
          <w:sz w:val="22"/>
          <w:szCs w:val="22"/>
          <w:lang w:val="fr-FR"/>
        </w:rPr>
        <w:t>par exemple l'amidon)</w:t>
      </w:r>
      <w:r w:rsidRPr="00D96091">
        <w:rPr>
          <w:rFonts w:asciiTheme="minorHAnsi" w:hAnsiTheme="minorHAnsi" w:cstheme="minorHAnsi"/>
          <w:sz w:val="22"/>
          <w:szCs w:val="22"/>
          <w:lang w:val="fr-FR"/>
        </w:rPr>
        <w:t xml:space="preserve">. Généralement plus coloré que </w:t>
      </w:r>
      <w:r w:rsidRPr="00D96091">
        <w:rPr>
          <w:rFonts w:asciiTheme="minorHAnsi" w:hAnsiTheme="minorHAnsi" w:cstheme="minorHAnsi"/>
          <w:sz w:val="22"/>
          <w:szCs w:val="22"/>
        </w:rPr>
        <w:t>(</w:t>
      </w:r>
      <w:r w:rsidRPr="00D96091">
        <w:rPr>
          <w:rFonts w:asciiTheme="minorHAnsi" w:hAnsiTheme="minorHAnsi" w:cstheme="minorHAnsi"/>
          <w:sz w:val="22"/>
          <w:szCs w:val="22"/>
        </w:rPr>
        <w:sym w:font="Wingdings 3" w:char="F022"/>
      </w:r>
      <w:r w:rsidRPr="00D96091">
        <w:rPr>
          <w:rFonts w:asciiTheme="minorHAnsi" w:hAnsiTheme="minorHAnsi" w:cstheme="minorHAnsi"/>
          <w:sz w:val="22"/>
          <w:szCs w:val="22"/>
        </w:rPr>
        <w:t xml:space="preserve">) </w:t>
      </w:r>
      <w:r w:rsidRPr="00D96091">
        <w:rPr>
          <w:rFonts w:asciiTheme="minorHAnsi" w:hAnsiTheme="minorHAnsi" w:cstheme="minorHAnsi"/>
          <w:sz w:val="22"/>
          <w:szCs w:val="22"/>
          <w:lang w:val="fr-FR"/>
        </w:rPr>
        <w:t>l'aubier, bien qu'il n'en soit pas toujours bien différencié</w:t>
      </w:r>
    </w:p>
    <w:p w:rsidR="00992F59" w:rsidRPr="00D96091" w:rsidRDefault="00992F59" w:rsidP="00992F59">
      <w:pPr>
        <w:pStyle w:val="StandardWeb"/>
        <w:spacing w:before="0" w:beforeAutospacing="0" w:after="0" w:afterAutospacing="0"/>
        <w:rPr>
          <w:rFonts w:asciiTheme="minorHAnsi" w:hAnsiTheme="minorHAnsi" w:cstheme="minorHAnsi"/>
          <w:sz w:val="22"/>
          <w:szCs w:val="22"/>
          <w:lang w:val="fr-FR"/>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Fibre: </w:t>
      </w:r>
      <w:r w:rsidRPr="00D96091">
        <w:rPr>
          <w:rFonts w:eastAsia="Times New Roman" w:cstheme="minorHAnsi"/>
          <w:lang w:val="fr-FR" w:eastAsia="de-DE"/>
        </w:rPr>
        <w:t>Terme général commode en anatomie du bois pour désigner le tissu mécanique, c’est-à-dire une cellule du bois, longue et étroite, autre que vaisseau ou parenchyme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Bois initial: </w:t>
      </w:r>
      <w:r w:rsidRPr="00D96091">
        <w:rPr>
          <w:rFonts w:eastAsia="Times New Roman" w:cstheme="minorHAnsi"/>
          <w:lang w:val="fr-FR" w:eastAsia="de-DE"/>
        </w:rPr>
        <w:t>Partie d'un cerne dont le bois est le moins dense, à cellules plus grosses et le premier formé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Vaisseau: </w:t>
      </w:r>
      <w:r w:rsidRPr="00D96091">
        <w:rPr>
          <w:rFonts w:eastAsia="Times New Roman" w:cstheme="minorHAnsi"/>
          <w:lang w:val="fr-FR" w:eastAsia="de-DE"/>
        </w:rPr>
        <w:t>File axiale de cellules qui sont unies pour former un ensemble tubulaire articlé, de longueur indéterminée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Canal résinifère: </w:t>
      </w:r>
      <w:r w:rsidRPr="00D96091">
        <w:rPr>
          <w:rFonts w:eastAsia="Times New Roman" w:cstheme="minorHAnsi"/>
          <w:lang w:val="fr-FR" w:eastAsia="de-DE"/>
        </w:rPr>
        <w:t xml:space="preserve">Canal intercellulaire contenant des résines </w:t>
      </w:r>
      <w:r w:rsidRPr="00D96091">
        <w:rPr>
          <w:rFonts w:cstheme="minorHAnsi"/>
          <w:lang w:val="en-GB"/>
        </w:rPr>
        <w:t>(</w:t>
      </w:r>
      <w:r w:rsidRPr="00D96091">
        <w:rPr>
          <w:rFonts w:cstheme="minorHAnsi"/>
        </w:rPr>
        <w:sym w:font="Wingdings 3" w:char="F022"/>
      </w:r>
      <w:r w:rsidRPr="00D96091">
        <w:rPr>
          <w:rFonts w:cstheme="minorHAnsi"/>
          <w:lang w:val="en-US"/>
        </w:rPr>
        <w:t xml:space="preserve"> </w:t>
      </w:r>
      <w:r w:rsidRPr="00D96091">
        <w:rPr>
          <w:rFonts w:eastAsia="Times New Roman" w:cstheme="minorHAnsi"/>
          <w:lang w:val="fr-FR" w:eastAsia="de-DE"/>
        </w:rPr>
        <w:t>Canal intercellulaire)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Bois à zones semi-poreuses: </w:t>
      </w:r>
      <w:r w:rsidRPr="00D96091">
        <w:rPr>
          <w:rFonts w:eastAsia="Times New Roman" w:cstheme="minorHAnsi"/>
          <w:lang w:val="fr-FR" w:eastAsia="de-DE"/>
        </w:rPr>
        <w:t>Bois dans lequel le bois initial est marqué par une zone: a) de vaisseaux accidentellement gros ou b) de nombreux petits vaisseaux; au sein d'un cerne, la transition des plus gros pores du bois initial vers les petits pores du bois final est graduelle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Bois à zone poreuse: </w:t>
      </w:r>
      <w:r w:rsidRPr="00D96091">
        <w:rPr>
          <w:rFonts w:eastAsia="Times New Roman" w:cstheme="minorHAnsi"/>
          <w:lang w:val="fr-FR" w:eastAsia="de-DE"/>
        </w:rPr>
        <w:t>Bois dans lequel les pores du bois initial sont manifestement plus gros que ceux du bois final d’un cerne et forment une zone ou un anneau bien marqué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Bois à pores Bois à pores disséminés: </w:t>
      </w:r>
      <w:r w:rsidRPr="00D96091">
        <w:rPr>
          <w:rFonts w:eastAsia="Times New Roman" w:cstheme="minorHAnsi"/>
          <w:lang w:val="fr-FR" w:eastAsia="de-DE"/>
        </w:rPr>
        <w:t>Bois dans lequel les cernes présentent des pores de taille et de répartition relativement uniforme ou avec des modifications progressives</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Rayon: </w:t>
      </w:r>
      <w:r w:rsidRPr="00D96091">
        <w:rPr>
          <w:rFonts w:eastAsia="Times New Roman" w:cstheme="minorHAnsi"/>
          <w:lang w:val="fr-FR" w:eastAsia="de-DE"/>
        </w:rPr>
        <w:t>Agrégat de cellules (</w:t>
      </w:r>
      <w:r w:rsidRPr="00D96091">
        <w:rPr>
          <w:rFonts w:cstheme="minorHAnsi"/>
        </w:rPr>
        <w:sym w:font="Wingdings 3" w:char="F022"/>
      </w:r>
      <w:r w:rsidRPr="00D96091">
        <w:rPr>
          <w:rFonts w:cstheme="minorHAnsi"/>
          <w:lang w:val="en-US"/>
        </w:rPr>
        <w:t xml:space="preserve"> </w:t>
      </w:r>
      <w:r w:rsidRPr="00D96091">
        <w:rPr>
          <w:rFonts w:eastAsia="Times New Roman" w:cstheme="minorHAnsi"/>
          <w:lang w:val="fr-FR" w:eastAsia="de-DE"/>
        </w:rPr>
        <w:t>Parenchyme) qui s'entend radialement comme un ruban à travers bois et liber</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Faux rayon: </w:t>
      </w:r>
      <w:r w:rsidRPr="00D96091">
        <w:rPr>
          <w:rFonts w:eastAsia="Times New Roman" w:cstheme="minorHAnsi"/>
          <w:lang w:val="fr-FR" w:eastAsia="de-DE"/>
        </w:rPr>
        <w:t>Groupe de petits rayons ligneux étroits apparaissant à l'œil nu ou sous faible grossissement comme un large rayon unique</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Canal intercellulaire: </w:t>
      </w:r>
      <w:r w:rsidRPr="00D96091">
        <w:rPr>
          <w:rFonts w:eastAsia="Times New Roman" w:cstheme="minorHAnsi"/>
          <w:lang w:val="fr-FR" w:eastAsia="de-DE"/>
        </w:rPr>
        <w:t>Espace intercellulaire tubulaire, de longueur indéterminée; dans lequel s'accumulent généralement des résines, gommes et autres produits secrètes par un épithélium</w:t>
      </w:r>
    </w:p>
    <w:p w:rsidR="00992F59" w:rsidRPr="00D96091" w:rsidRDefault="00992F59" w:rsidP="00992F59">
      <w:pPr>
        <w:spacing w:after="0"/>
        <w:rPr>
          <w:rFonts w:eastAsia="Times New Roman" w:cstheme="minorHAnsi"/>
          <w:lang w:val="fr-FR" w:eastAsia="de-DE"/>
        </w:rPr>
      </w:pPr>
    </w:p>
    <w:p w:rsidR="00992F59" w:rsidRPr="00D96091" w:rsidRDefault="00992F59" w:rsidP="00992F59">
      <w:pPr>
        <w:spacing w:after="0"/>
        <w:rPr>
          <w:rFonts w:eastAsia="Times New Roman" w:cstheme="minorHAnsi"/>
          <w:lang w:val="fr-FR" w:eastAsia="de-DE"/>
        </w:rPr>
      </w:pPr>
      <w:r w:rsidRPr="00D96091">
        <w:rPr>
          <w:rFonts w:eastAsia="Times New Roman" w:cstheme="minorHAnsi"/>
          <w:b/>
          <w:bCs/>
          <w:lang w:val="fr-FR" w:eastAsia="de-DE"/>
        </w:rPr>
        <w:t xml:space="preserve">Canal intercellulaire traumatique: </w:t>
      </w:r>
      <w:r w:rsidRPr="00D96091">
        <w:rPr>
          <w:rFonts w:eastAsia="Times New Roman" w:cstheme="minorHAnsi"/>
          <w:lang w:val="fr-FR" w:eastAsia="de-DE"/>
        </w:rPr>
        <w:t>Canal formé à la suite d'une blessure de l'arbre vivant. Note: Souvent de taille anormale; peut-être axial ou radial</w:t>
      </w:r>
    </w:p>
    <w:p w:rsidR="00AE08D7" w:rsidRPr="00D96091" w:rsidRDefault="00AE08D7" w:rsidP="00992F59">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lastRenderedPageBreak/>
        <w:t xml:space="preserve">Cerne annuel: </w:t>
      </w:r>
      <w:r w:rsidRPr="00D96091">
        <w:rPr>
          <w:rFonts w:eastAsia="Times New Roman" w:cstheme="minorHAnsi"/>
          <w:lang w:val="fr-FR" w:eastAsia="de-DE"/>
        </w:rPr>
        <w:t xml:space="preserve">En section transversale, couche d'accroissement d'une année dans le bois </w:t>
      </w:r>
      <w:r w:rsidRPr="00D96091">
        <w:rPr>
          <w:rFonts w:cstheme="minorHAnsi"/>
          <w:lang w:val="en-US"/>
        </w:rPr>
        <w:t>(</w:t>
      </w:r>
      <w:r w:rsidRPr="00D96091">
        <w:rPr>
          <w:rFonts w:cstheme="minorHAnsi"/>
        </w:rPr>
        <w:sym w:font="Wingdings 3" w:char="F022"/>
      </w:r>
      <w:r w:rsidRPr="00D96091">
        <w:rPr>
          <w:rFonts w:cstheme="minorHAnsi"/>
          <w:lang w:val="en-US"/>
        </w:rPr>
        <w:t xml:space="preserve"> </w:t>
      </w:r>
      <w:r w:rsidRPr="00D96091">
        <w:rPr>
          <w:rFonts w:eastAsia="Times New Roman" w:cstheme="minorHAnsi"/>
          <w:lang w:val="fr-FR" w:eastAsia="de-DE"/>
        </w:rPr>
        <w:t>Couche d'accroissement)</w:t>
      </w:r>
    </w:p>
    <w:p w:rsidR="00AE08D7" w:rsidRPr="00D96091" w:rsidRDefault="00AE08D7" w:rsidP="00AE08D7">
      <w:pPr>
        <w:spacing w:after="0"/>
        <w:rPr>
          <w:rFonts w:eastAsia="Times New Roman" w:cstheme="minorHAnsi"/>
          <w:lang w:val="en-US"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Lumière: </w:t>
      </w:r>
      <w:r w:rsidRPr="00D96091">
        <w:rPr>
          <w:rFonts w:eastAsia="Times New Roman" w:cstheme="minorHAnsi"/>
          <w:lang w:val="fr-FR" w:eastAsia="de-DE"/>
        </w:rPr>
        <w:t>Cavité de la cellule</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w:t>
      </w:r>
      <w:r w:rsidRPr="00D96091">
        <w:rPr>
          <w:rFonts w:eastAsia="Times New Roman" w:cstheme="minorHAnsi"/>
          <w:lang w:val="fr-FR" w:eastAsia="de-DE"/>
        </w:rPr>
        <w:t>Tissu composé de cellules typiquement en forme de brique ou isodiamétriques avec des ponctuations simples; formé dans le bois (a) à partir des initiales fusiformes par les divisions transversales ultérieures des cellules-filles (parenchyme axial), (b) à partir des initiales de rayon (</w:t>
      </w:r>
      <w:r w:rsidRPr="00D96091">
        <w:rPr>
          <w:rFonts w:cstheme="minorHAnsi"/>
        </w:rPr>
        <w:sym w:font="Wingdings 3" w:char="F022"/>
      </w:r>
      <w:r w:rsidRPr="00D96091">
        <w:rPr>
          <w:rFonts w:cstheme="minorHAnsi"/>
          <w:lang w:val="en-US"/>
        </w:rPr>
        <w:t xml:space="preserve"> </w:t>
      </w:r>
      <w:r w:rsidRPr="00D96091">
        <w:rPr>
          <w:rFonts w:eastAsia="Times New Roman" w:cstheme="minorHAnsi"/>
          <w:lang w:val="fr-FR" w:eastAsia="de-DE"/>
        </w:rPr>
        <w:t>parenchyme radial)</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w:t>
      </w:r>
      <w:proofErr w:type="spellStart"/>
      <w:r w:rsidRPr="00D96091">
        <w:rPr>
          <w:rFonts w:eastAsia="Times New Roman" w:cstheme="minorHAnsi"/>
          <w:b/>
          <w:bCs/>
          <w:lang w:val="fr-FR" w:eastAsia="de-DE"/>
        </w:rPr>
        <w:t>apotracheal</w:t>
      </w:r>
      <w:proofErr w:type="spellEnd"/>
      <w:r w:rsidRPr="00D96091">
        <w:rPr>
          <w:rFonts w:eastAsia="Times New Roman" w:cstheme="minorHAnsi"/>
          <w:b/>
          <w:bCs/>
          <w:lang w:val="fr-FR" w:eastAsia="de-DE"/>
        </w:rPr>
        <w:t xml:space="preserve">: </w:t>
      </w:r>
      <w:r w:rsidRPr="00D96091">
        <w:rPr>
          <w:rFonts w:eastAsia="Times New Roman" w:cstheme="minorHAnsi"/>
          <w:lang w:val="fr-FR" w:eastAsia="de-DE"/>
        </w:rPr>
        <w:t xml:space="preserve">Parenchyme axial typiquement indépendant des pores ou vaisseaux. Remarque: Cela comprend le parenchyme </w:t>
      </w:r>
      <w:proofErr w:type="spellStart"/>
      <w:r w:rsidRPr="00D96091">
        <w:rPr>
          <w:rFonts w:eastAsia="Times New Roman" w:cstheme="minorHAnsi"/>
          <w:lang w:val="fr-FR" w:eastAsia="de-DE"/>
        </w:rPr>
        <w:t>apotraquéal</w:t>
      </w:r>
      <w:proofErr w:type="spellEnd"/>
      <w:r w:rsidRPr="00D96091">
        <w:rPr>
          <w:rFonts w:eastAsia="Times New Roman" w:cstheme="minorHAnsi"/>
          <w:lang w:val="fr-FR" w:eastAsia="de-DE"/>
        </w:rPr>
        <w:t xml:space="preserve"> 'diffus' et 'en chaînettes'</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aliforme (en losange): </w:t>
      </w:r>
      <w:r w:rsidRPr="00D96091">
        <w:rPr>
          <w:rFonts w:eastAsia="Times New Roman" w:cstheme="minorHAnsi"/>
          <w:lang w:val="fr-FR" w:eastAsia="de-DE"/>
        </w:rPr>
        <w:t xml:space="preserve">En section transversale type de parenchyme </w:t>
      </w:r>
      <w:proofErr w:type="spellStart"/>
      <w:r w:rsidRPr="00D96091">
        <w:rPr>
          <w:rFonts w:eastAsia="Times New Roman" w:cstheme="minorHAnsi"/>
          <w:lang w:val="fr-FR" w:eastAsia="de-DE"/>
        </w:rPr>
        <w:t>paratraquéal</w:t>
      </w:r>
      <w:proofErr w:type="spellEnd"/>
      <w:r w:rsidRPr="00D96091">
        <w:rPr>
          <w:rFonts w:eastAsia="Times New Roman" w:cstheme="minorHAnsi"/>
          <w:lang w:val="fr-FR" w:eastAsia="de-DE"/>
        </w:rPr>
        <w:t xml:space="preserve"> avec prolongements en losange</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anastomosé: </w:t>
      </w:r>
      <w:r w:rsidRPr="00D96091">
        <w:rPr>
          <w:rFonts w:eastAsia="Times New Roman" w:cstheme="minorHAnsi"/>
          <w:lang w:val="fr-FR" w:eastAsia="de-DE"/>
        </w:rPr>
        <w:t>En section transversale, type de parenchyme aliforme confluent qui se présente sous forme de lignes irrégulières tangentielles ou obliques</w:t>
      </w:r>
    </w:p>
    <w:p w:rsidR="00AE08D7" w:rsidRPr="00D96091" w:rsidRDefault="00AE08D7" w:rsidP="00AE08D7">
      <w:pPr>
        <w:spacing w:after="0"/>
        <w:rPr>
          <w:rFonts w:eastAsia="Times New Roman" w:cstheme="minorHAnsi"/>
          <w:lang w:val="fr-FR" w:eastAsia="de-DE"/>
        </w:rPr>
      </w:pPr>
    </w:p>
    <w:p w:rsidR="000F0612" w:rsidRPr="000F0612" w:rsidRDefault="000F0612" w:rsidP="000F0612">
      <w:pPr>
        <w:pStyle w:val="StandardWeb"/>
        <w:spacing w:before="0" w:beforeAutospacing="0" w:after="0" w:afterAutospacing="0"/>
        <w:rPr>
          <w:rFonts w:asciiTheme="minorHAnsi" w:hAnsiTheme="minorHAnsi" w:cstheme="minorHAnsi"/>
          <w:bCs/>
          <w:sz w:val="22"/>
          <w:szCs w:val="22"/>
          <w:lang w:val="fr-FR"/>
        </w:rPr>
      </w:pPr>
      <w:r w:rsidRPr="000F0612">
        <w:rPr>
          <w:rFonts w:asciiTheme="minorHAnsi" w:hAnsiTheme="minorHAnsi" w:cstheme="minorHAnsi"/>
          <w:b/>
          <w:bCs/>
          <w:sz w:val="22"/>
          <w:szCs w:val="22"/>
          <w:lang w:val="fr-FR"/>
        </w:rPr>
        <w:t xml:space="preserve">Parenchyme, disséminée et en chaînettes: </w:t>
      </w:r>
      <w:r w:rsidRPr="000F0612">
        <w:rPr>
          <w:rFonts w:asciiTheme="minorHAnsi" w:hAnsiTheme="minorHAnsi" w:cstheme="minorHAnsi"/>
          <w:bCs/>
          <w:sz w:val="22"/>
          <w:szCs w:val="22"/>
          <w:lang w:val="fr-FR"/>
        </w:rPr>
        <w:t xml:space="preserve">files ou cellules parenchymateuses </w:t>
      </w:r>
      <w:proofErr w:type="spellStart"/>
      <w:r w:rsidRPr="000F0612">
        <w:rPr>
          <w:rFonts w:asciiTheme="minorHAnsi" w:hAnsiTheme="minorHAnsi" w:cstheme="minorHAnsi"/>
          <w:bCs/>
          <w:sz w:val="22"/>
          <w:szCs w:val="22"/>
          <w:lang w:val="fr-FR"/>
        </w:rPr>
        <w:t>apotrachéales</w:t>
      </w:r>
      <w:proofErr w:type="spellEnd"/>
      <w:r w:rsidRPr="000F0612">
        <w:rPr>
          <w:rFonts w:asciiTheme="minorHAnsi" w:hAnsiTheme="minorHAnsi" w:cstheme="minorHAnsi"/>
          <w:bCs/>
          <w:sz w:val="22"/>
          <w:szCs w:val="22"/>
          <w:lang w:val="fr-FR"/>
        </w:rPr>
        <w:t xml:space="preserve"> simples (</w:t>
      </w:r>
      <w:r w:rsidR="00B66F50" w:rsidRPr="00B66F50">
        <w:rPr>
          <w:rFonts w:asciiTheme="minorHAnsi" w:hAnsiTheme="minorHAnsi" w:cstheme="minorHAnsi"/>
          <w:bCs/>
          <w:sz w:val="22"/>
          <w:szCs w:val="22"/>
          <w:lang w:val="fr-FR"/>
        </w:rPr>
        <w:t>disséminées</w:t>
      </w:r>
      <w:r w:rsidRPr="000F0612">
        <w:rPr>
          <w:rFonts w:asciiTheme="minorHAnsi" w:hAnsiTheme="minorHAnsi" w:cstheme="minorHAnsi"/>
          <w:bCs/>
          <w:sz w:val="22"/>
          <w:szCs w:val="22"/>
          <w:lang w:val="fr-FR"/>
        </w:rPr>
        <w:t>, macroscopiquement généralement non discernables) ou groupes tangentielles courtes (en chaînettes) réparties irrégulièrement entre les fibres, comme le montre la coupe transversale</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aliforme (en ailes): </w:t>
      </w:r>
      <w:r w:rsidRPr="00D96091">
        <w:rPr>
          <w:rFonts w:eastAsia="Times New Roman" w:cstheme="minorHAnsi"/>
          <w:lang w:val="fr-FR" w:eastAsia="de-DE"/>
        </w:rPr>
        <w:t xml:space="preserve">En section transversale type de parenchyme </w:t>
      </w:r>
      <w:proofErr w:type="spellStart"/>
      <w:r w:rsidRPr="00D96091">
        <w:rPr>
          <w:rFonts w:eastAsia="Times New Roman" w:cstheme="minorHAnsi"/>
          <w:lang w:val="fr-FR" w:eastAsia="de-DE"/>
        </w:rPr>
        <w:t>circumvasculaire</w:t>
      </w:r>
      <w:proofErr w:type="spellEnd"/>
      <w:r w:rsidRPr="00D96091">
        <w:rPr>
          <w:rFonts w:eastAsia="Times New Roman" w:cstheme="minorHAnsi"/>
          <w:lang w:val="fr-FR" w:eastAsia="de-DE"/>
        </w:rPr>
        <w:t xml:space="preserve"> avec prolongements en forme d'aile</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en lignes: </w:t>
      </w:r>
      <w:r w:rsidRPr="00D96091">
        <w:rPr>
          <w:rFonts w:eastAsia="Times New Roman" w:cstheme="minorHAnsi"/>
          <w:lang w:val="fr-FR" w:eastAsia="de-DE"/>
        </w:rPr>
        <w:t>En section transversale, type de parenchyme axial qui se présente sous forme de lignes ou couches concentriques</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en échelle: </w:t>
      </w:r>
      <w:r w:rsidRPr="00D96091">
        <w:rPr>
          <w:rFonts w:eastAsia="Times New Roman" w:cstheme="minorHAnsi"/>
          <w:lang w:val="fr-FR" w:eastAsia="de-DE"/>
        </w:rPr>
        <w:t>Terme descriptif qui s'applique à une disposition schématiquement en échelle (scalariforme) du parenchyme par suite d'un espacement régulier, en section transversale, des rayons et des bandes ou lignes de parenchyme axial à condition que ces dernières soient manifestement plus étroites que les rayons</w:t>
      </w:r>
    </w:p>
    <w:p w:rsidR="00AE08D7" w:rsidRPr="00D96091" w:rsidRDefault="00AE08D7" w:rsidP="00AE08D7">
      <w:pPr>
        <w:spacing w:after="0"/>
        <w:rPr>
          <w:rFonts w:eastAsia="Times New Roman" w:cstheme="minorHAnsi"/>
          <w:lang w:val="fr-FR" w:eastAsia="de-DE"/>
        </w:rPr>
      </w:pPr>
    </w:p>
    <w:p w:rsidR="000F0612" w:rsidRPr="000F0612" w:rsidRDefault="000F0612" w:rsidP="000F0612">
      <w:pPr>
        <w:spacing w:after="0"/>
        <w:rPr>
          <w:rFonts w:eastAsia="Times New Roman" w:cstheme="minorHAnsi"/>
          <w:lang w:val="fr-FR" w:eastAsia="de-DE"/>
        </w:rPr>
      </w:pPr>
      <w:r w:rsidRPr="000F0612">
        <w:rPr>
          <w:rFonts w:eastAsia="Times New Roman" w:cstheme="minorHAnsi"/>
          <w:b/>
          <w:bCs/>
          <w:lang w:val="fr-FR" w:eastAsia="de-DE"/>
        </w:rPr>
        <w:t xml:space="preserve">Parenchyme marginal: </w:t>
      </w:r>
      <w:r w:rsidRPr="000F0612">
        <w:rPr>
          <w:rFonts w:eastAsia="Times New Roman" w:cstheme="minorHAnsi"/>
          <w:lang w:val="fr-FR" w:eastAsia="de-DE"/>
        </w:rPr>
        <w:t xml:space="preserve">Cellules de parenchyme qui se rencontrent à l'état isolé ou en ligne plus ou moins continue de largeur variable au début </w:t>
      </w:r>
      <w:r>
        <w:rPr>
          <w:rFonts w:eastAsia="Times New Roman" w:cstheme="minorHAnsi"/>
          <w:lang w:val="fr-FR" w:eastAsia="de-DE"/>
        </w:rPr>
        <w:t xml:space="preserve">(initial) </w:t>
      </w:r>
      <w:r w:rsidRPr="000F0612">
        <w:rPr>
          <w:rFonts w:eastAsia="Times New Roman" w:cstheme="minorHAnsi"/>
          <w:lang w:val="fr-FR" w:eastAsia="de-DE"/>
        </w:rPr>
        <w:t xml:space="preserve">ou à la fin </w:t>
      </w:r>
      <w:r>
        <w:rPr>
          <w:rFonts w:eastAsia="Times New Roman" w:cstheme="minorHAnsi"/>
          <w:lang w:val="fr-FR" w:eastAsia="de-DE"/>
        </w:rPr>
        <w:t xml:space="preserve">(terminal) </w:t>
      </w:r>
      <w:r w:rsidRPr="000F0612">
        <w:rPr>
          <w:rFonts w:eastAsia="Times New Roman" w:cstheme="minorHAnsi"/>
          <w:lang w:val="fr-FR" w:eastAsia="de-DE"/>
        </w:rPr>
        <w:t>d'un accroissement saisonnier</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en réseau: </w:t>
      </w:r>
      <w:r w:rsidRPr="00D96091">
        <w:rPr>
          <w:rFonts w:eastAsia="Times New Roman" w:cstheme="minorHAnsi"/>
          <w:lang w:val="fr-FR" w:eastAsia="de-DE"/>
        </w:rPr>
        <w:t xml:space="preserve">Terme descriptif employé pour designer la disposition du parenchyme axial imitant les mailles d'un filet, réseau formé en section transversale par les rayons et des bandes ou </w:t>
      </w:r>
      <w:proofErr w:type="spellStart"/>
      <w:r w:rsidRPr="00D96091">
        <w:rPr>
          <w:rFonts w:eastAsia="Times New Roman" w:cstheme="minorHAnsi"/>
          <w:lang w:val="fr-FR" w:eastAsia="de-DE"/>
        </w:rPr>
        <w:t>Iignes</w:t>
      </w:r>
      <w:proofErr w:type="spellEnd"/>
      <w:r w:rsidRPr="00D96091">
        <w:rPr>
          <w:rFonts w:eastAsia="Times New Roman" w:cstheme="minorHAnsi"/>
          <w:lang w:val="fr-FR" w:eastAsia="de-DE"/>
        </w:rPr>
        <w:t xml:space="preserve"> de parenchyme régulièrement espacées</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w:t>
      </w:r>
      <w:proofErr w:type="spellStart"/>
      <w:r w:rsidRPr="00D96091">
        <w:rPr>
          <w:rFonts w:eastAsia="Times New Roman" w:cstheme="minorHAnsi"/>
          <w:b/>
          <w:bCs/>
          <w:lang w:val="fr-FR" w:eastAsia="de-DE"/>
        </w:rPr>
        <w:t>paratraquéal</w:t>
      </w:r>
      <w:proofErr w:type="spellEnd"/>
      <w:r w:rsidRPr="00D96091">
        <w:rPr>
          <w:rFonts w:eastAsia="Times New Roman" w:cstheme="minorHAnsi"/>
          <w:b/>
          <w:bCs/>
          <w:lang w:val="fr-FR" w:eastAsia="de-DE"/>
        </w:rPr>
        <w:t xml:space="preserve">: </w:t>
      </w:r>
      <w:r w:rsidRPr="00D96091">
        <w:rPr>
          <w:rFonts w:eastAsia="Times New Roman" w:cstheme="minorHAnsi"/>
          <w:lang w:val="fr-FR" w:eastAsia="de-DE"/>
        </w:rPr>
        <w:t>Parenchyme axial associé aux vaisseaux ou au, trachéides vasculaires</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Parenchyme en manchon: </w:t>
      </w:r>
      <w:r w:rsidRPr="00D96091">
        <w:rPr>
          <w:rFonts w:eastAsia="Times New Roman" w:cstheme="minorHAnsi"/>
          <w:lang w:val="fr-FR" w:eastAsia="de-DE"/>
        </w:rPr>
        <w:t xml:space="preserve">En section transversale, type de parenchyme </w:t>
      </w:r>
      <w:proofErr w:type="spellStart"/>
      <w:r w:rsidRPr="00D96091">
        <w:rPr>
          <w:rFonts w:eastAsia="Times New Roman" w:cstheme="minorHAnsi"/>
          <w:lang w:val="fr-FR" w:eastAsia="de-DE"/>
        </w:rPr>
        <w:t>paratraquéal</w:t>
      </w:r>
      <w:proofErr w:type="spellEnd"/>
      <w:r w:rsidRPr="00D96091">
        <w:rPr>
          <w:rFonts w:eastAsia="Times New Roman" w:cstheme="minorHAnsi"/>
          <w:lang w:val="fr-FR" w:eastAsia="de-DE"/>
        </w:rPr>
        <w:t xml:space="preserve"> entourant </w:t>
      </w:r>
      <w:proofErr w:type="spellStart"/>
      <w:r w:rsidRPr="00D96091">
        <w:rPr>
          <w:rFonts w:eastAsia="Times New Roman" w:cstheme="minorHAnsi"/>
          <w:lang w:val="fr-FR" w:eastAsia="de-DE"/>
        </w:rPr>
        <w:t>complétement</w:t>
      </w:r>
      <w:proofErr w:type="spellEnd"/>
      <w:r w:rsidRPr="00D96091">
        <w:rPr>
          <w:rFonts w:eastAsia="Times New Roman" w:cstheme="minorHAnsi"/>
          <w:lang w:val="fr-FR" w:eastAsia="de-DE"/>
        </w:rPr>
        <w:t xml:space="preserve"> le vaisseau d'une gaine de largeur variable, circulaire ou légèrement ovale</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cstheme="minorHAnsi"/>
          <w:lang w:val="fr-FR"/>
        </w:rPr>
      </w:pPr>
      <w:r w:rsidRPr="00D96091">
        <w:rPr>
          <w:rFonts w:eastAsia="Times New Roman" w:cstheme="minorHAnsi"/>
          <w:b/>
          <w:bCs/>
          <w:lang w:val="fr-FR" w:eastAsia="de-DE"/>
        </w:rPr>
        <w:t>Aubier:</w:t>
      </w:r>
      <w:r w:rsidRPr="00D96091">
        <w:rPr>
          <w:rFonts w:eastAsia="Times New Roman" w:cstheme="minorHAnsi"/>
          <w:lang w:val="fr-FR" w:eastAsia="de-DE"/>
        </w:rPr>
        <w:t xml:space="preserve"> Portion du bois qui renferme dans l'arbre vivant des cellules vivantes et des matières de réserve, par exemple de l'amidon </w:t>
      </w:r>
      <w:r w:rsidRPr="00D96091">
        <w:rPr>
          <w:rFonts w:cstheme="minorHAnsi"/>
          <w:lang w:val="en-US"/>
        </w:rPr>
        <w:t>(</w:t>
      </w:r>
      <w:r w:rsidRPr="00D96091">
        <w:rPr>
          <w:rFonts w:cstheme="minorHAnsi"/>
          <w:lang w:val="en-GB"/>
        </w:rPr>
        <w:sym w:font="Wingdings 3" w:char="F022"/>
      </w:r>
      <w:r w:rsidRPr="00D96091">
        <w:rPr>
          <w:rFonts w:cstheme="minorHAnsi"/>
          <w:lang w:val="en-GB"/>
        </w:rPr>
        <w:t xml:space="preserve"> </w:t>
      </w:r>
      <w:r w:rsidRPr="00D96091">
        <w:rPr>
          <w:rFonts w:cstheme="minorHAnsi"/>
          <w:lang w:val="fr-FR"/>
        </w:rPr>
        <w:t xml:space="preserve">Bois de </w:t>
      </w:r>
      <w:r w:rsidRPr="00D96091">
        <w:rPr>
          <w:rFonts w:cstheme="minorHAnsi"/>
          <w:bCs/>
          <w:lang w:val="fr-FR"/>
        </w:rPr>
        <w:t>c</w:t>
      </w:r>
      <w:hyperlink r:id="rId5" w:history="1">
        <w:r w:rsidRPr="00D96091">
          <w:rPr>
            <w:rStyle w:val="Hyperlink"/>
            <w:rFonts w:cstheme="minorHAnsi"/>
            <w:color w:val="auto"/>
            <w:u w:val="none"/>
          </w:rPr>
          <w:t>œ</w:t>
        </w:r>
      </w:hyperlink>
      <w:proofErr w:type="spellStart"/>
      <w:r w:rsidRPr="00D96091">
        <w:rPr>
          <w:rFonts w:cstheme="minorHAnsi"/>
          <w:bCs/>
          <w:lang w:val="fr-FR"/>
        </w:rPr>
        <w:t>ur</w:t>
      </w:r>
      <w:proofErr w:type="spellEnd"/>
      <w:r w:rsidRPr="00D96091">
        <w:rPr>
          <w:rFonts w:cstheme="minorHAnsi"/>
          <w:lang w:val="fr-FR"/>
        </w:rPr>
        <w:t>)</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Style w:val="tlid-translation"/>
          <w:lang w:val="fr-FR"/>
        </w:rPr>
      </w:pPr>
      <w:r w:rsidRPr="00D96091">
        <w:rPr>
          <w:rFonts w:eastAsia="Times New Roman" w:cstheme="minorHAnsi"/>
          <w:b/>
          <w:bCs/>
          <w:lang w:val="fr-FR" w:eastAsia="de-DE"/>
        </w:rPr>
        <w:t xml:space="preserve">Structure </w:t>
      </w:r>
      <w:proofErr w:type="spellStart"/>
      <w:r w:rsidRPr="00D96091">
        <w:rPr>
          <w:rFonts w:eastAsia="Times New Roman" w:cstheme="minorHAnsi"/>
          <w:b/>
          <w:bCs/>
          <w:lang w:val="fr-FR" w:eastAsia="de-DE"/>
        </w:rPr>
        <w:t>étagée</w:t>
      </w:r>
      <w:proofErr w:type="spellEnd"/>
      <w:r w:rsidRPr="00D96091">
        <w:rPr>
          <w:rFonts w:eastAsia="Times New Roman" w:cstheme="minorHAnsi"/>
          <w:b/>
          <w:bCs/>
          <w:lang w:val="fr-FR" w:eastAsia="de-DE"/>
        </w:rPr>
        <w:t xml:space="preserve">: </w:t>
      </w:r>
      <w:r w:rsidRPr="00D96091">
        <w:rPr>
          <w:rFonts w:eastAsia="Times New Roman" w:cstheme="minorHAnsi"/>
          <w:bCs/>
          <w:lang w:val="fr-FR" w:eastAsia="de-DE"/>
        </w:rPr>
        <w:t>T</w:t>
      </w:r>
      <w:r w:rsidRPr="00D96091">
        <w:rPr>
          <w:rFonts w:eastAsia="Times New Roman" w:cstheme="minorHAnsi"/>
          <w:lang w:val="fr-FR" w:eastAsia="de-DE"/>
        </w:rPr>
        <w:t xml:space="preserve">erme qui s'applique aux cellules axiales et aux rayons dans les bois où ils sont disposés horizontalement sur les faces tangentielles, </w:t>
      </w:r>
      <w:r w:rsidRPr="00D96091">
        <w:rPr>
          <w:rStyle w:val="tlid-translation"/>
          <w:lang w:val="fr-FR"/>
        </w:rPr>
        <w:t>visibles à l'œil nu</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proofErr w:type="spellStart"/>
      <w:r w:rsidRPr="00D96091">
        <w:rPr>
          <w:rFonts w:eastAsia="Times New Roman" w:cstheme="minorHAnsi"/>
          <w:b/>
          <w:bCs/>
          <w:lang w:val="fr-FR" w:eastAsia="de-DE"/>
        </w:rPr>
        <w:t>Thylle</w:t>
      </w:r>
      <w:proofErr w:type="spellEnd"/>
      <w:r w:rsidRPr="00D96091">
        <w:rPr>
          <w:rFonts w:eastAsia="Times New Roman" w:cstheme="minorHAnsi"/>
          <w:b/>
          <w:bCs/>
          <w:lang w:val="fr-FR" w:eastAsia="de-DE"/>
        </w:rPr>
        <w:t xml:space="preserve"> pl. </w:t>
      </w:r>
      <w:proofErr w:type="spellStart"/>
      <w:r w:rsidRPr="00D96091">
        <w:rPr>
          <w:rFonts w:eastAsia="Times New Roman" w:cstheme="minorHAnsi"/>
          <w:b/>
          <w:bCs/>
          <w:lang w:val="fr-FR" w:eastAsia="de-DE"/>
        </w:rPr>
        <w:t>Thylles</w:t>
      </w:r>
      <w:proofErr w:type="spellEnd"/>
      <w:r w:rsidRPr="00D96091">
        <w:rPr>
          <w:rFonts w:eastAsia="Times New Roman" w:cstheme="minorHAnsi"/>
          <w:b/>
          <w:bCs/>
          <w:lang w:val="fr-FR" w:eastAsia="de-DE"/>
        </w:rPr>
        <w:t xml:space="preserve">: </w:t>
      </w:r>
      <w:r w:rsidRPr="00D96091">
        <w:rPr>
          <w:rFonts w:eastAsia="Times New Roman" w:cstheme="minorHAnsi"/>
          <w:lang w:val="fr-FR" w:eastAsia="de-DE"/>
        </w:rPr>
        <w:t xml:space="preserve">Excroissance d'une cellule de rayon ou de parenchyme axial à travers la cavité d'une ponctuation d'un vaisseau adjacent; la </w:t>
      </w:r>
      <w:proofErr w:type="spellStart"/>
      <w:r w:rsidRPr="00D96091">
        <w:rPr>
          <w:rFonts w:eastAsia="Times New Roman" w:cstheme="minorHAnsi"/>
          <w:lang w:val="fr-FR" w:eastAsia="de-DE"/>
        </w:rPr>
        <w:t>lumière</w:t>
      </w:r>
      <w:proofErr w:type="spellEnd"/>
      <w:r w:rsidRPr="00D96091">
        <w:rPr>
          <w:rFonts w:eastAsia="Times New Roman" w:cstheme="minorHAnsi"/>
          <w:lang w:val="fr-FR" w:eastAsia="de-DE"/>
        </w:rPr>
        <w:t xml:space="preserve"> du vaisseau s'en trouve partiellement ou </w:t>
      </w:r>
      <w:proofErr w:type="spellStart"/>
      <w:r w:rsidRPr="00D96091">
        <w:rPr>
          <w:rFonts w:eastAsia="Times New Roman" w:cstheme="minorHAnsi"/>
          <w:lang w:val="fr-FR" w:eastAsia="de-DE"/>
        </w:rPr>
        <w:t>complètement</w:t>
      </w:r>
      <w:proofErr w:type="spellEnd"/>
      <w:r w:rsidRPr="00D96091">
        <w:rPr>
          <w:rFonts w:eastAsia="Times New Roman" w:cstheme="minorHAnsi"/>
          <w:lang w:val="fr-FR" w:eastAsia="de-DE"/>
        </w:rPr>
        <w:t xml:space="preserve"> obstruée</w:t>
      </w:r>
    </w:p>
    <w:p w:rsidR="00AE08D7" w:rsidRPr="00D96091" w:rsidRDefault="00AE08D7" w:rsidP="00AE08D7">
      <w:pPr>
        <w:spacing w:after="0"/>
        <w:rPr>
          <w:rFonts w:eastAsia="Times New Roman" w:cstheme="minorHAnsi"/>
          <w:lang w:val="fr-FR" w:eastAsia="de-DE"/>
        </w:rPr>
      </w:pPr>
    </w:p>
    <w:p w:rsidR="00AE08D7" w:rsidRPr="00D96091" w:rsidRDefault="00AE08D7" w:rsidP="00AE08D7">
      <w:pPr>
        <w:spacing w:after="0"/>
        <w:rPr>
          <w:rFonts w:eastAsia="Times New Roman" w:cstheme="minorHAnsi"/>
          <w:lang w:val="fr-FR" w:eastAsia="de-DE"/>
        </w:rPr>
      </w:pPr>
      <w:r w:rsidRPr="00D96091">
        <w:rPr>
          <w:rFonts w:eastAsia="Times New Roman" w:cstheme="minorHAnsi"/>
          <w:b/>
          <w:bCs/>
          <w:lang w:val="fr-FR" w:eastAsia="de-DE"/>
        </w:rPr>
        <w:t xml:space="preserve">Couche d'accroissement (cerne): </w:t>
      </w:r>
      <w:r w:rsidRPr="00D96091">
        <w:rPr>
          <w:rFonts w:eastAsia="Times New Roman" w:cstheme="minorHAnsi"/>
          <w:lang w:val="fr-FR" w:eastAsia="de-DE"/>
        </w:rPr>
        <w:t xml:space="preserve">Couche de bois produite apparemment pendant une période de végétation; fréquemment divisible en bois initial et bois final, notamment dans les bois des régions tempérées. </w:t>
      </w:r>
      <w:r w:rsidRPr="00D96091">
        <w:rPr>
          <w:rStyle w:val="tlid-translation"/>
          <w:lang w:val="fr-FR"/>
        </w:rPr>
        <w:t xml:space="preserve">Le rythme de croissance des bois tropicaux est déterminé par l'alternance de saisons humides et sèches, qui ne peuvent se produire qu'une fois par an (rythme annuel) ou plusieurs fois. Selon le nombre de saisons des pluies, plusieurs zones de croissance peuvent être observées en un an. Les zones de croissance des types de bois tropicaux ne correspondent pas </w:t>
      </w:r>
      <w:proofErr w:type="spellStart"/>
      <w:r w:rsidRPr="00D96091">
        <w:rPr>
          <w:rStyle w:val="tlid-translation"/>
          <w:lang w:val="fr-FR"/>
        </w:rPr>
        <w:t>nécessairement</w:t>
      </w:r>
      <w:r w:rsidRPr="00D96091">
        <w:rPr>
          <w:rFonts w:eastAsia="Times New Roman" w:cstheme="minorHAnsi"/>
          <w:lang w:val="fr-FR" w:eastAsia="de-DE"/>
        </w:rPr>
        <w:t>aux</w:t>
      </w:r>
      <w:proofErr w:type="spellEnd"/>
      <w:r w:rsidRPr="00D96091">
        <w:rPr>
          <w:rFonts w:eastAsia="Times New Roman" w:cstheme="minorHAnsi"/>
          <w:lang w:val="fr-FR" w:eastAsia="de-DE"/>
        </w:rPr>
        <w:t xml:space="preserve"> anneaux annuels</w:t>
      </w:r>
    </w:p>
    <w:p w:rsidR="003F7629" w:rsidRPr="00D96091" w:rsidRDefault="003F7629" w:rsidP="00AE08D7">
      <w:pPr>
        <w:spacing w:after="0"/>
      </w:pPr>
    </w:p>
    <w:sectPr w:rsidR="003F7629" w:rsidRPr="00D96091" w:rsidSect="003F7629">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proofState w:spelling="clean" w:grammar="clean"/>
  <w:defaultTabStop w:val="708"/>
  <w:hyphenationZone w:val="425"/>
  <w:characterSpacingControl w:val="doNotCompress"/>
  <w:compat/>
  <w:rsids>
    <w:rsidRoot w:val="00992F59"/>
    <w:rsid w:val="000F0612"/>
    <w:rsid w:val="003F7629"/>
    <w:rsid w:val="004C0F0C"/>
    <w:rsid w:val="00634CE9"/>
    <w:rsid w:val="00992F59"/>
    <w:rsid w:val="00AE08D7"/>
    <w:rsid w:val="00B66F50"/>
    <w:rsid w:val="00D9609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F762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992F59"/>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Tabellengitternetz">
    <w:name w:val="Table Grid"/>
    <w:basedOn w:val="NormaleTabelle"/>
    <w:uiPriority w:val="39"/>
    <w:rsid w:val="00992F59"/>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bsatz-Standardschriftart"/>
    <w:rsid w:val="00992F59"/>
  </w:style>
  <w:style w:type="character" w:styleId="Hyperlink">
    <w:name w:val="Hyperlink"/>
    <w:basedOn w:val="Absatz-Standardschriftart"/>
    <w:uiPriority w:val="99"/>
    <w:semiHidden/>
    <w:unhideWhenUsed/>
    <w:rsid w:val="00992F5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dict.leo.org/franz&#246;sisch-deutsch/c%C5%93ur" TargetMode="External"/><Relationship Id="rId4" Type="http://schemas.openxmlformats.org/officeDocument/2006/relationships/hyperlink" Target="https://dict.leo.org/franz&#246;sisch-deutsch/c%C5%93ur"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852</Words>
  <Characters>5374</Characters>
  <Application>Microsoft Office Word</Application>
  <DocSecurity>0</DocSecurity>
  <Lines>44</Lines>
  <Paragraphs>12</Paragraphs>
  <ScaleCrop>false</ScaleCrop>
  <Company/>
  <LinksUpToDate>false</LinksUpToDate>
  <CharactersWithSpaces>6214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Jorgo</dc:creator>
  <cp:lastModifiedBy>Jorgo</cp:lastModifiedBy>
  <cp:revision>5</cp:revision>
  <dcterms:created xsi:type="dcterms:W3CDTF">2019-12-15T17:39:00Z</dcterms:created>
  <dcterms:modified xsi:type="dcterms:W3CDTF">2019-12-15T18:34:00Z</dcterms:modified>
</cp:coreProperties>
</file>