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2DC" w:rsidRPr="004963C5" w:rsidRDefault="006C52DC" w:rsidP="006C52DC">
      <w:pPr>
        <w:pStyle w:val="StandardWeb"/>
        <w:spacing w:before="0" w:beforeAutospacing="0" w:after="0" w:afterAutospacing="0"/>
        <w:jc w:val="center"/>
        <w:rPr>
          <w:rFonts w:asciiTheme="minorHAnsi" w:hAnsiTheme="minorHAnsi" w:cstheme="minorHAnsi"/>
          <w:b/>
          <w:bCs/>
          <w:color w:val="000000" w:themeColor="text1"/>
          <w:sz w:val="22"/>
          <w:szCs w:val="22"/>
        </w:rPr>
      </w:pPr>
      <w:r w:rsidRPr="004963C5">
        <w:rPr>
          <w:rFonts w:asciiTheme="minorHAnsi" w:hAnsiTheme="minorHAnsi" w:cstheme="minorHAnsi"/>
          <w:b/>
          <w:bCs/>
          <w:color w:val="000000" w:themeColor="text1"/>
          <w:sz w:val="22"/>
          <w:szCs w:val="22"/>
        </w:rPr>
        <w:t xml:space="preserve">Glossar: Fachbegriffe in der Holzanatomie für eine makroskopische Holzartenbestimmung </w:t>
      </w:r>
    </w:p>
    <w:p w:rsidR="006C52DC" w:rsidRPr="004963C5" w:rsidRDefault="006C52DC" w:rsidP="006C52DC">
      <w:pPr>
        <w:pStyle w:val="StandardWeb"/>
        <w:spacing w:before="0" w:beforeAutospacing="0" w:after="0" w:afterAutospacing="0"/>
        <w:jc w:val="center"/>
        <w:rPr>
          <w:rFonts w:asciiTheme="minorHAnsi" w:hAnsiTheme="minorHAnsi" w:cstheme="minorHAnsi"/>
          <w:color w:val="000000" w:themeColor="text1"/>
          <w:sz w:val="22"/>
          <w:szCs w:val="22"/>
        </w:rPr>
      </w:pPr>
      <w:r w:rsidRPr="004963C5">
        <w:rPr>
          <w:rFonts w:asciiTheme="minorHAnsi" w:hAnsiTheme="minorHAnsi" w:cstheme="minorHAnsi"/>
          <w:color w:val="000000" w:themeColor="text1"/>
          <w:sz w:val="22"/>
          <w:szCs w:val="22"/>
        </w:rPr>
        <w:t xml:space="preserve">(in Anlehnung an den </w:t>
      </w:r>
      <w:proofErr w:type="spellStart"/>
      <w:r w:rsidRPr="004963C5">
        <w:rPr>
          <w:rFonts w:asciiTheme="minorHAnsi" w:hAnsiTheme="minorHAnsi" w:cstheme="minorHAnsi"/>
          <w:color w:val="000000" w:themeColor="text1"/>
          <w:sz w:val="22"/>
          <w:szCs w:val="22"/>
        </w:rPr>
        <w:t>Nomenklatur</w:t>
      </w:r>
      <w:r>
        <w:rPr>
          <w:rFonts w:asciiTheme="minorHAnsi" w:hAnsiTheme="minorHAnsi" w:cstheme="minorHAnsi"/>
          <w:color w:val="000000" w:themeColor="text1"/>
          <w:sz w:val="22"/>
          <w:szCs w:val="22"/>
        </w:rPr>
        <w:t>a</w:t>
      </w:r>
      <w:r w:rsidRPr="004963C5">
        <w:rPr>
          <w:rFonts w:asciiTheme="minorHAnsi" w:hAnsiTheme="minorHAnsi" w:cstheme="minorHAnsi"/>
          <w:color w:val="000000" w:themeColor="text1"/>
          <w:sz w:val="22"/>
          <w:szCs w:val="22"/>
        </w:rPr>
        <w:t>usschuss</w:t>
      </w:r>
      <w:proofErr w:type="spellEnd"/>
      <w:r w:rsidRPr="004963C5">
        <w:rPr>
          <w:rFonts w:asciiTheme="minorHAnsi" w:hAnsiTheme="minorHAnsi" w:cstheme="minorHAnsi"/>
          <w:color w:val="000000" w:themeColor="text1"/>
          <w:sz w:val="22"/>
          <w:szCs w:val="22"/>
        </w:rPr>
        <w:t xml:space="preserve"> der International </w:t>
      </w:r>
      <w:proofErr w:type="spellStart"/>
      <w:r w:rsidRPr="004963C5">
        <w:rPr>
          <w:rFonts w:asciiTheme="minorHAnsi" w:hAnsiTheme="minorHAnsi" w:cstheme="minorHAnsi"/>
          <w:color w:val="000000" w:themeColor="text1"/>
          <w:sz w:val="22"/>
          <w:szCs w:val="22"/>
        </w:rPr>
        <w:t>Association</w:t>
      </w:r>
      <w:proofErr w:type="spellEnd"/>
      <w:r w:rsidRPr="004963C5">
        <w:rPr>
          <w:rFonts w:asciiTheme="minorHAnsi" w:hAnsiTheme="minorHAnsi" w:cstheme="minorHAnsi"/>
          <w:color w:val="000000" w:themeColor="text1"/>
          <w:sz w:val="22"/>
          <w:szCs w:val="22"/>
        </w:rPr>
        <w:t xml:space="preserve"> </w:t>
      </w:r>
      <w:proofErr w:type="spellStart"/>
      <w:r w:rsidRPr="004963C5">
        <w:rPr>
          <w:rFonts w:asciiTheme="minorHAnsi" w:hAnsiTheme="minorHAnsi" w:cstheme="minorHAnsi"/>
          <w:color w:val="000000" w:themeColor="text1"/>
          <w:sz w:val="22"/>
          <w:szCs w:val="22"/>
        </w:rPr>
        <w:t>of</w:t>
      </w:r>
      <w:proofErr w:type="spellEnd"/>
      <w:r w:rsidRPr="004963C5">
        <w:rPr>
          <w:rFonts w:asciiTheme="minorHAnsi" w:hAnsiTheme="minorHAnsi" w:cstheme="minorHAnsi"/>
          <w:color w:val="000000" w:themeColor="text1"/>
          <w:sz w:val="22"/>
          <w:szCs w:val="22"/>
        </w:rPr>
        <w:t xml:space="preserve"> Wood </w:t>
      </w:r>
      <w:proofErr w:type="spellStart"/>
      <w:r w:rsidRPr="004963C5">
        <w:rPr>
          <w:rFonts w:asciiTheme="minorHAnsi" w:hAnsiTheme="minorHAnsi" w:cstheme="minorHAnsi"/>
          <w:color w:val="000000" w:themeColor="text1"/>
          <w:sz w:val="22"/>
          <w:szCs w:val="22"/>
        </w:rPr>
        <w:t>Anatomists</w:t>
      </w:r>
      <w:proofErr w:type="spellEnd"/>
      <w:r w:rsidRPr="004963C5">
        <w:rPr>
          <w:rFonts w:asciiTheme="minorHAnsi" w:hAnsiTheme="minorHAnsi" w:cstheme="minorHAnsi"/>
          <w:color w:val="000000" w:themeColor="text1"/>
          <w:sz w:val="22"/>
          <w:szCs w:val="22"/>
        </w:rPr>
        <w:t>, IAWA)</w:t>
      </w:r>
    </w:p>
    <w:p w:rsidR="00A46780" w:rsidRDefault="00A46780"/>
    <w:p w:rsidR="006C52DC" w:rsidRPr="004963C5"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963C5">
        <w:rPr>
          <w:rFonts w:asciiTheme="minorHAnsi" w:hAnsiTheme="minorHAnsi" w:cstheme="minorHAnsi"/>
          <w:b/>
          <w:bCs/>
          <w:color w:val="000000" w:themeColor="text1"/>
          <w:sz w:val="22"/>
          <w:szCs w:val="22"/>
        </w:rPr>
        <w:t>Element</w:t>
      </w:r>
      <w:r>
        <w:rPr>
          <w:rFonts w:asciiTheme="minorHAnsi" w:hAnsiTheme="minorHAnsi" w:cstheme="minorHAnsi"/>
          <w:b/>
          <w:bCs/>
          <w:color w:val="000000" w:themeColor="text1"/>
          <w:sz w:val="22"/>
          <w:szCs w:val="22"/>
        </w:rPr>
        <w:t xml:space="preserve">, </w:t>
      </w:r>
      <w:r w:rsidRPr="004963C5">
        <w:rPr>
          <w:rFonts w:asciiTheme="minorHAnsi" w:hAnsiTheme="minorHAnsi" w:cstheme="minorHAnsi"/>
          <w:b/>
          <w:bCs/>
          <w:color w:val="000000" w:themeColor="text1"/>
          <w:sz w:val="22"/>
          <w:szCs w:val="22"/>
        </w:rPr>
        <w:t>Zell-Element:</w:t>
      </w:r>
      <w:r w:rsidRPr="004963C5">
        <w:rPr>
          <w:rFonts w:asciiTheme="minorHAnsi" w:hAnsiTheme="minorHAnsi" w:cstheme="minorHAnsi"/>
          <w:color w:val="000000" w:themeColor="text1"/>
          <w:sz w:val="22"/>
          <w:szCs w:val="22"/>
        </w:rPr>
        <w:t xml:space="preserve"> Allgemeiner Ausdruck für Einzelzellen. Hinweis: In der Holzanatomie wird dieser Ausdruck im Besonderen verwendet, um zwischen Gefäßen und ihren einzelnen Komponenten, den Gefäßelementen zu unterscheiden</w:t>
      </w:r>
    </w:p>
    <w:p w:rsidR="006C52DC" w:rsidRDefault="006C52DC" w:rsidP="006C52DC">
      <w:pPr>
        <w:pStyle w:val="StandardWeb"/>
        <w:spacing w:before="0" w:beforeAutospacing="0" w:after="0" w:afterAutospacing="0"/>
        <w:rPr>
          <w:rFonts w:asciiTheme="minorHAnsi" w:hAnsiTheme="minorHAnsi" w:cstheme="minorHAnsi"/>
          <w:b/>
          <w:bCs/>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F</w:t>
      </w:r>
      <w:r w:rsidRPr="00F85792">
        <w:rPr>
          <w:rFonts w:asciiTheme="minorHAnsi" w:hAnsiTheme="minorHAnsi" w:cstheme="minorHAnsi"/>
          <w:b/>
          <w:bCs/>
          <w:color w:val="000000" w:themeColor="text1"/>
          <w:sz w:val="22"/>
          <w:szCs w:val="22"/>
        </w:rPr>
        <w:t>arbkernholz, Kernholz:</w:t>
      </w:r>
      <w:r w:rsidRPr="00F85792">
        <w:rPr>
          <w:rFonts w:asciiTheme="minorHAnsi" w:hAnsiTheme="minorHAnsi" w:cstheme="minorHAnsi"/>
          <w:color w:val="000000" w:themeColor="text1"/>
          <w:sz w:val="22"/>
          <w:szCs w:val="22"/>
        </w:rPr>
        <w:t xml:space="preserve"> Die inneren Zonen im Holz, die im stehenden Stamm keine lebenden Zellen mehr enthalten und in denen die Reservestoffe (z.B. Stärke) in der Regel abgebaut oder in Kernholzsubstanzen umgebaut worden sind. Das Kernholz ist meistens farblich vom (</w:t>
      </w:r>
      <w:r w:rsidRPr="00F85792">
        <w:rPr>
          <w:rFonts w:asciiTheme="minorHAnsi" w:hAnsiTheme="minorHAnsi" w:cstheme="minorHAnsi"/>
          <w:color w:val="000000" w:themeColor="text1"/>
          <w:sz w:val="22"/>
          <w:szCs w:val="22"/>
        </w:rPr>
        <w:sym w:font="Wingdings 3" w:char="F022"/>
      </w:r>
      <w:r>
        <w:rPr>
          <w:rFonts w:asciiTheme="minorHAnsi" w:hAnsiTheme="minorHAnsi" w:cstheme="minorHAnsi"/>
          <w:color w:val="000000" w:themeColor="text1"/>
          <w:sz w:val="22"/>
          <w:szCs w:val="22"/>
        </w:rPr>
        <w:t xml:space="preserve">) </w:t>
      </w:r>
      <w:r w:rsidRPr="00F85792">
        <w:rPr>
          <w:rFonts w:asciiTheme="minorHAnsi" w:hAnsiTheme="minorHAnsi" w:cstheme="minorHAnsi"/>
          <w:color w:val="000000" w:themeColor="text1"/>
          <w:sz w:val="22"/>
          <w:szCs w:val="22"/>
        </w:rPr>
        <w:t>Splintholz</w:t>
      </w:r>
      <w:r>
        <w:rPr>
          <w:rFonts w:asciiTheme="minorHAnsi" w:hAnsiTheme="minorHAnsi" w:cstheme="minorHAnsi"/>
          <w:color w:val="000000" w:themeColor="text1"/>
          <w:sz w:val="22"/>
          <w:szCs w:val="22"/>
        </w:rPr>
        <w:t xml:space="preserve"> </w:t>
      </w:r>
      <w:r w:rsidRPr="00F85792">
        <w:rPr>
          <w:rFonts w:asciiTheme="minorHAnsi" w:hAnsiTheme="minorHAnsi" w:cstheme="minorHAnsi"/>
          <w:color w:val="000000" w:themeColor="text1"/>
          <w:sz w:val="22"/>
          <w:szCs w:val="22"/>
        </w:rPr>
        <w:t>abgesetzt</w:t>
      </w:r>
    </w:p>
    <w:p w:rsidR="006C52DC" w:rsidRPr="00F85792"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Faser:</w:t>
      </w:r>
      <w:r w:rsidRPr="004E24B4">
        <w:rPr>
          <w:rFonts w:asciiTheme="minorHAnsi" w:hAnsiTheme="minorHAnsi" w:cstheme="minorHAnsi"/>
          <w:color w:val="000000" w:themeColor="text1"/>
          <w:sz w:val="22"/>
          <w:szCs w:val="22"/>
        </w:rPr>
        <w:t xml:space="preserve"> In der Holzanatomie verwendeter Begriff für das Festigungsgewebe des Holzes, das aus langen, dickwandigen (</w:t>
      </w:r>
      <w:proofErr w:type="spellStart"/>
      <w:r w:rsidRPr="004E24B4">
        <w:rPr>
          <w:rFonts w:asciiTheme="minorHAnsi" w:hAnsiTheme="minorHAnsi" w:cstheme="minorHAnsi"/>
          <w:color w:val="000000" w:themeColor="text1"/>
          <w:sz w:val="22"/>
          <w:szCs w:val="22"/>
        </w:rPr>
        <w:t>englumigen</w:t>
      </w:r>
      <w:proofErr w:type="spellEnd"/>
      <w:r w:rsidRPr="004E24B4">
        <w:rPr>
          <w:rFonts w:asciiTheme="minorHAnsi" w:hAnsiTheme="minorHAnsi" w:cstheme="minorHAnsi"/>
          <w:color w:val="000000" w:themeColor="text1"/>
          <w:sz w:val="22"/>
          <w:szCs w:val="22"/>
        </w:rPr>
        <w:t>) Zellen besteht</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Frühholz:</w:t>
      </w:r>
      <w:r w:rsidRPr="004E24B4">
        <w:rPr>
          <w:rFonts w:asciiTheme="minorHAnsi" w:hAnsiTheme="minorHAnsi" w:cstheme="minorHAnsi"/>
          <w:color w:val="000000" w:themeColor="text1"/>
          <w:sz w:val="22"/>
          <w:szCs w:val="22"/>
        </w:rPr>
        <w:t xml:space="preserve"> Erstgebildetes Holzgewebe eines Jahrringes mit </w:t>
      </w:r>
      <w:proofErr w:type="spellStart"/>
      <w:r w:rsidRPr="004E24B4">
        <w:rPr>
          <w:rFonts w:asciiTheme="minorHAnsi" w:hAnsiTheme="minorHAnsi" w:cstheme="minorHAnsi"/>
          <w:color w:val="000000" w:themeColor="text1"/>
          <w:sz w:val="22"/>
          <w:szCs w:val="22"/>
        </w:rPr>
        <w:t>weitlumigen</w:t>
      </w:r>
      <w:proofErr w:type="spellEnd"/>
      <w:r w:rsidRPr="004E24B4">
        <w:rPr>
          <w:rFonts w:asciiTheme="minorHAnsi" w:hAnsiTheme="minorHAnsi" w:cstheme="minorHAnsi"/>
          <w:color w:val="000000" w:themeColor="text1"/>
          <w:sz w:val="22"/>
          <w:szCs w:val="22"/>
        </w:rPr>
        <w:t xml:space="preserve"> Zellen und geringere</w:t>
      </w:r>
      <w:r>
        <w:rPr>
          <w:rFonts w:asciiTheme="minorHAnsi" w:hAnsiTheme="minorHAnsi" w:cstheme="minorHAnsi"/>
          <w:color w:val="000000" w:themeColor="text1"/>
          <w:sz w:val="22"/>
          <w:szCs w:val="22"/>
        </w:rPr>
        <w:t>r</w:t>
      </w:r>
      <w:r w:rsidRPr="004E24B4">
        <w:rPr>
          <w:rFonts w:asciiTheme="minorHAnsi" w:hAnsiTheme="minorHAnsi" w:cstheme="minorHAnsi"/>
          <w:color w:val="000000" w:themeColor="text1"/>
          <w:sz w:val="22"/>
          <w:szCs w:val="22"/>
        </w:rPr>
        <w:t xml:space="preserve"> Dichte</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Harzkanal (</w:t>
      </w:r>
      <w:proofErr w:type="spellStart"/>
      <w:r w:rsidRPr="004E24B4">
        <w:rPr>
          <w:rFonts w:asciiTheme="minorHAnsi" w:hAnsiTheme="minorHAnsi" w:cstheme="minorHAnsi"/>
          <w:b/>
          <w:bCs/>
          <w:color w:val="000000" w:themeColor="text1"/>
          <w:sz w:val="22"/>
          <w:szCs w:val="22"/>
        </w:rPr>
        <w:t>Harzgang</w:t>
      </w:r>
      <w:proofErr w:type="spellEnd"/>
      <w:r w:rsidRPr="004E24B4">
        <w:rPr>
          <w:rFonts w:asciiTheme="minorHAnsi" w:hAnsiTheme="minorHAnsi" w:cstheme="minorHAnsi"/>
          <w:b/>
          <w:bCs/>
          <w:color w:val="000000" w:themeColor="text1"/>
          <w:sz w:val="22"/>
          <w:szCs w:val="22"/>
        </w:rPr>
        <w:t>):</w:t>
      </w:r>
      <w:r w:rsidRPr="004E24B4">
        <w:rPr>
          <w:rFonts w:asciiTheme="minorHAnsi" w:hAnsiTheme="minorHAnsi" w:cstheme="minorHAnsi"/>
          <w:color w:val="000000" w:themeColor="text1"/>
          <w:sz w:val="22"/>
          <w:szCs w:val="22"/>
        </w:rPr>
        <w:t xml:space="preserve"> Interzellularer Kanal, der Harz enthält (</w:t>
      </w:r>
      <w:r w:rsidRPr="004E24B4">
        <w:rPr>
          <w:rFonts w:asciiTheme="minorHAnsi" w:hAnsiTheme="minorHAnsi" w:cstheme="minorHAnsi"/>
          <w:color w:val="000000" w:themeColor="text1"/>
          <w:sz w:val="22"/>
          <w:szCs w:val="22"/>
        </w:rPr>
        <w:sym w:font="Wingdings 3" w:char="F022"/>
      </w:r>
      <w:r w:rsidRPr="004E24B4">
        <w:rPr>
          <w:rFonts w:asciiTheme="minorHAnsi" w:hAnsiTheme="minorHAnsi" w:cstheme="minorHAnsi"/>
          <w:color w:val="000000" w:themeColor="text1"/>
          <w:sz w:val="22"/>
          <w:szCs w:val="22"/>
        </w:rPr>
        <w:t xml:space="preserve"> Interzellulargang)</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Holz, halbringporig:</w:t>
      </w:r>
      <w:r w:rsidRPr="004E24B4">
        <w:rPr>
          <w:rFonts w:asciiTheme="minorHAnsi" w:hAnsiTheme="minorHAnsi" w:cstheme="minorHAnsi"/>
          <w:color w:val="000000" w:themeColor="text1"/>
          <w:sz w:val="22"/>
          <w:szCs w:val="22"/>
        </w:rPr>
        <w:t xml:space="preserve"> In halbringporigem Holz sind die Gefäße (Poren) des Frühholzes deutlich größer als diejenigen des Spätholzes der vorherigen Zuwachszone; innerhalb einer Zuwachszone vollzieht sich der Übergang zu den engeren Spätholzgefäßen jedoch allmählich</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F85792">
        <w:rPr>
          <w:rFonts w:asciiTheme="minorHAnsi" w:hAnsiTheme="minorHAnsi" w:cstheme="minorHAnsi"/>
          <w:b/>
          <w:bCs/>
          <w:color w:val="000000" w:themeColor="text1"/>
          <w:sz w:val="22"/>
          <w:szCs w:val="22"/>
        </w:rPr>
        <w:t>Holz, ringporig:</w:t>
      </w:r>
      <w:r w:rsidRPr="00F85792">
        <w:rPr>
          <w:rFonts w:asciiTheme="minorHAnsi" w:hAnsiTheme="minorHAnsi" w:cstheme="minorHAnsi"/>
          <w:color w:val="000000" w:themeColor="text1"/>
          <w:sz w:val="22"/>
          <w:szCs w:val="22"/>
        </w:rPr>
        <w:t xml:space="preserve"> In ringporigem Holz sind die Frühholzgefäße deutlich größer als die Spätholzgefäße derselben und der vorherigen Zuwachszone und bilden einen deutlich erkennbaren Porenring. Innerhalb einer Zuwachszone vollzieht sich der Übergang zum Spätholz abrupt</w:t>
      </w:r>
    </w:p>
    <w:p w:rsidR="006C52DC" w:rsidRPr="00F85792"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Holz</w:t>
      </w:r>
      <w:r>
        <w:rPr>
          <w:rFonts w:asciiTheme="minorHAnsi" w:hAnsiTheme="minorHAnsi" w:cstheme="minorHAnsi"/>
          <w:b/>
          <w:bCs/>
          <w:color w:val="000000" w:themeColor="text1"/>
          <w:sz w:val="22"/>
          <w:szCs w:val="22"/>
        </w:rPr>
        <w:t>,</w:t>
      </w:r>
      <w:r w:rsidRPr="004E24B4">
        <w:rPr>
          <w:rFonts w:asciiTheme="minorHAnsi" w:hAnsiTheme="minorHAnsi" w:cstheme="minorHAnsi"/>
          <w:b/>
          <w:bCs/>
          <w:color w:val="000000" w:themeColor="text1"/>
          <w:sz w:val="22"/>
          <w:szCs w:val="22"/>
        </w:rPr>
        <w:t xml:space="preserve"> </w:t>
      </w:r>
      <w:proofErr w:type="spellStart"/>
      <w:r w:rsidRPr="004E24B4">
        <w:rPr>
          <w:rFonts w:asciiTheme="minorHAnsi" w:hAnsiTheme="minorHAnsi" w:cstheme="minorHAnsi"/>
          <w:b/>
          <w:bCs/>
          <w:color w:val="000000" w:themeColor="text1"/>
          <w:sz w:val="22"/>
          <w:szCs w:val="22"/>
        </w:rPr>
        <w:t>zerstreutporig</w:t>
      </w:r>
      <w:proofErr w:type="spellEnd"/>
      <w:r w:rsidRPr="004E24B4">
        <w:rPr>
          <w:rFonts w:asciiTheme="minorHAnsi" w:hAnsiTheme="minorHAnsi" w:cstheme="minorHAnsi"/>
          <w:b/>
          <w:bCs/>
          <w:color w:val="000000" w:themeColor="text1"/>
          <w:sz w:val="22"/>
          <w:szCs w:val="22"/>
        </w:rPr>
        <w:t>:</w:t>
      </w:r>
      <w:r w:rsidRPr="004E24B4">
        <w:rPr>
          <w:rFonts w:asciiTheme="minorHAnsi" w:hAnsiTheme="minorHAnsi" w:cstheme="minorHAnsi"/>
          <w:color w:val="000000" w:themeColor="text1"/>
          <w:sz w:val="22"/>
          <w:szCs w:val="22"/>
        </w:rPr>
        <w:t xml:space="preserve"> In </w:t>
      </w:r>
      <w:proofErr w:type="spellStart"/>
      <w:r w:rsidRPr="004E24B4">
        <w:rPr>
          <w:rFonts w:asciiTheme="minorHAnsi" w:hAnsiTheme="minorHAnsi" w:cstheme="minorHAnsi"/>
          <w:color w:val="000000" w:themeColor="text1"/>
          <w:sz w:val="22"/>
          <w:szCs w:val="22"/>
        </w:rPr>
        <w:t>zerstreutporigem</w:t>
      </w:r>
      <w:proofErr w:type="spellEnd"/>
      <w:r w:rsidRPr="004E24B4">
        <w:rPr>
          <w:rFonts w:asciiTheme="minorHAnsi" w:hAnsiTheme="minorHAnsi" w:cstheme="minorHAnsi"/>
          <w:color w:val="000000" w:themeColor="text1"/>
          <w:sz w:val="22"/>
          <w:szCs w:val="22"/>
        </w:rPr>
        <w:t xml:space="preserve"> Holz sind die Gefäße (Poren) im Frühholz und Spätholz einer Zuwachszone annähernd gleich groß. Die überwiegende Zahl tropischer Hölzer sowie eine große Zahl der Hölzer aus gemäßigten Zonen sind </w:t>
      </w:r>
      <w:proofErr w:type="spellStart"/>
      <w:r w:rsidRPr="004E24B4">
        <w:rPr>
          <w:rFonts w:asciiTheme="minorHAnsi" w:hAnsiTheme="minorHAnsi" w:cstheme="minorHAnsi"/>
          <w:color w:val="000000" w:themeColor="text1"/>
          <w:sz w:val="22"/>
          <w:szCs w:val="22"/>
        </w:rPr>
        <w:t>zerstreutporig</w:t>
      </w:r>
      <w:proofErr w:type="spellEnd"/>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Holzstrahl (Markstrahl):</w:t>
      </w:r>
      <w:r w:rsidRPr="004E24B4">
        <w:rPr>
          <w:rFonts w:asciiTheme="minorHAnsi" w:hAnsiTheme="minorHAnsi" w:cstheme="minorHAnsi"/>
          <w:color w:val="000000" w:themeColor="text1"/>
          <w:sz w:val="22"/>
          <w:szCs w:val="22"/>
        </w:rPr>
        <w:t xml:space="preserve"> Speichergewebe (</w:t>
      </w:r>
      <w:r w:rsidRPr="004E24B4">
        <w:rPr>
          <w:rFonts w:asciiTheme="minorHAnsi" w:hAnsiTheme="minorHAnsi" w:cstheme="minorHAnsi"/>
          <w:color w:val="000000" w:themeColor="text1"/>
          <w:sz w:val="22"/>
          <w:szCs w:val="22"/>
        </w:rPr>
        <w:sym w:font="Wingdings 3" w:char="F022"/>
      </w:r>
      <w:r w:rsidRPr="004E24B4">
        <w:rPr>
          <w:rFonts w:asciiTheme="minorHAnsi" w:hAnsiTheme="minorHAnsi" w:cstheme="minorHAnsi"/>
          <w:color w:val="000000" w:themeColor="text1"/>
          <w:sz w:val="22"/>
          <w:szCs w:val="22"/>
        </w:rPr>
        <w:t xml:space="preserve"> Parenchym) das in </w:t>
      </w:r>
      <w:r>
        <w:rPr>
          <w:rFonts w:asciiTheme="minorHAnsi" w:hAnsiTheme="minorHAnsi" w:cstheme="minorHAnsi"/>
          <w:color w:val="000000" w:themeColor="text1"/>
          <w:sz w:val="22"/>
          <w:szCs w:val="22"/>
        </w:rPr>
        <w:t>Holz und Rinde in radialer Richtung verläuft</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Holzstrahl</w:t>
      </w:r>
      <w:r>
        <w:rPr>
          <w:rFonts w:asciiTheme="minorHAnsi" w:hAnsiTheme="minorHAnsi" w:cstheme="minorHAnsi"/>
          <w:b/>
          <w:bCs/>
          <w:color w:val="000000" w:themeColor="text1"/>
          <w:sz w:val="22"/>
          <w:szCs w:val="22"/>
        </w:rPr>
        <w:t xml:space="preserve">, </w:t>
      </w:r>
      <w:r w:rsidRPr="004E24B4">
        <w:rPr>
          <w:rFonts w:asciiTheme="minorHAnsi" w:hAnsiTheme="minorHAnsi" w:cstheme="minorHAnsi"/>
          <w:b/>
          <w:bCs/>
          <w:color w:val="000000" w:themeColor="text1"/>
          <w:sz w:val="22"/>
          <w:szCs w:val="22"/>
        </w:rPr>
        <w:t xml:space="preserve">zusammengesetzter: </w:t>
      </w:r>
      <w:r w:rsidRPr="004E24B4">
        <w:rPr>
          <w:rFonts w:asciiTheme="minorHAnsi" w:hAnsiTheme="minorHAnsi" w:cstheme="minorHAnsi"/>
          <w:color w:val="000000" w:themeColor="text1"/>
          <w:sz w:val="22"/>
          <w:szCs w:val="22"/>
        </w:rPr>
        <w:t>Eine Gruppe von kleinen, schmalen Holzstrahlzellen, die bei Betrachtung mit bloßem Auge oder bei schwacher Vergrößerung scheinbar wie ein einzeln</w:t>
      </w:r>
      <w:r>
        <w:rPr>
          <w:rFonts w:asciiTheme="minorHAnsi" w:hAnsiTheme="minorHAnsi" w:cstheme="minorHAnsi"/>
          <w:color w:val="000000" w:themeColor="text1"/>
          <w:sz w:val="22"/>
          <w:szCs w:val="22"/>
        </w:rPr>
        <w:t>er, breiter Holzstrahl aussehen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I</w:t>
      </w:r>
      <w:r w:rsidRPr="004963C5">
        <w:rPr>
          <w:rFonts w:asciiTheme="minorHAnsi" w:hAnsiTheme="minorHAnsi" w:cstheme="minorHAnsi"/>
          <w:b/>
          <w:bCs/>
          <w:color w:val="000000" w:themeColor="text1"/>
          <w:sz w:val="22"/>
          <w:szCs w:val="22"/>
        </w:rPr>
        <w:t>nterzellulargang:</w:t>
      </w:r>
      <w:r w:rsidRPr="004963C5">
        <w:rPr>
          <w:rFonts w:asciiTheme="minorHAnsi" w:hAnsiTheme="minorHAnsi" w:cstheme="minorHAnsi"/>
          <w:color w:val="000000" w:themeColor="text1"/>
          <w:sz w:val="22"/>
          <w:szCs w:val="22"/>
        </w:rPr>
        <w:t xml:space="preserve"> Ein röhrenförmiger von harzbildenden Zellen umgebener Kanal, der meist mit Harz oder </w:t>
      </w:r>
      <w:proofErr w:type="spellStart"/>
      <w:r w:rsidRPr="004963C5">
        <w:rPr>
          <w:rFonts w:asciiTheme="minorHAnsi" w:hAnsiTheme="minorHAnsi" w:cstheme="minorHAnsi"/>
          <w:color w:val="000000" w:themeColor="text1"/>
          <w:sz w:val="22"/>
          <w:szCs w:val="22"/>
        </w:rPr>
        <w:t>Extraktstoffen</w:t>
      </w:r>
      <w:proofErr w:type="spellEnd"/>
      <w:r>
        <w:rPr>
          <w:rFonts w:asciiTheme="minorHAnsi" w:hAnsiTheme="minorHAnsi" w:cstheme="minorHAnsi"/>
          <w:color w:val="000000" w:themeColor="text1"/>
          <w:sz w:val="22"/>
          <w:szCs w:val="22"/>
        </w:rPr>
        <w:t xml:space="preserve"> </w:t>
      </w:r>
      <w:r w:rsidRPr="004963C5">
        <w:rPr>
          <w:rFonts w:asciiTheme="minorHAnsi" w:hAnsiTheme="minorHAnsi" w:cstheme="minorHAnsi"/>
          <w:color w:val="000000" w:themeColor="text1"/>
          <w:sz w:val="22"/>
          <w:szCs w:val="22"/>
        </w:rPr>
        <w:t>gefüllt ist</w:t>
      </w:r>
    </w:p>
    <w:p w:rsidR="006C52DC" w:rsidRPr="004963C5"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963C5">
        <w:rPr>
          <w:rFonts w:asciiTheme="minorHAnsi" w:hAnsiTheme="minorHAnsi" w:cstheme="minorHAnsi"/>
          <w:b/>
          <w:bCs/>
          <w:color w:val="000000" w:themeColor="text1"/>
          <w:sz w:val="22"/>
          <w:szCs w:val="22"/>
        </w:rPr>
        <w:t>Interzellulargang</w:t>
      </w:r>
      <w:r>
        <w:rPr>
          <w:rFonts w:asciiTheme="minorHAnsi" w:hAnsiTheme="minorHAnsi" w:cstheme="minorHAnsi"/>
          <w:b/>
          <w:bCs/>
          <w:color w:val="000000" w:themeColor="text1"/>
          <w:sz w:val="22"/>
          <w:szCs w:val="22"/>
        </w:rPr>
        <w:t xml:space="preserve">, </w:t>
      </w:r>
      <w:r w:rsidRPr="004963C5">
        <w:rPr>
          <w:rFonts w:asciiTheme="minorHAnsi" w:hAnsiTheme="minorHAnsi" w:cstheme="minorHAnsi"/>
          <w:b/>
          <w:bCs/>
          <w:color w:val="000000" w:themeColor="text1"/>
          <w:sz w:val="22"/>
          <w:szCs w:val="22"/>
        </w:rPr>
        <w:t>traumatisch:</w:t>
      </w:r>
      <w:r w:rsidRPr="004963C5">
        <w:rPr>
          <w:rFonts w:asciiTheme="minorHAnsi" w:hAnsiTheme="minorHAnsi" w:cstheme="minorHAnsi"/>
          <w:color w:val="000000" w:themeColor="text1"/>
          <w:sz w:val="22"/>
          <w:szCs w:val="22"/>
        </w:rPr>
        <w:t xml:space="preserve"> Interzellulargang, der als Folge einer Verletzung gebildet worden ist. Hinweis: Zumeist von anormaler Größe, der axial oder radial verläuft</w:t>
      </w:r>
    </w:p>
    <w:p w:rsidR="006C52DC" w:rsidRPr="004963C5"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963C5">
        <w:rPr>
          <w:rFonts w:asciiTheme="minorHAnsi" w:hAnsiTheme="minorHAnsi" w:cstheme="minorHAnsi"/>
          <w:b/>
          <w:bCs/>
          <w:color w:val="000000" w:themeColor="text1"/>
          <w:sz w:val="22"/>
          <w:szCs w:val="22"/>
        </w:rPr>
        <w:t>Jahresring:</w:t>
      </w:r>
      <w:r w:rsidRPr="004963C5">
        <w:rPr>
          <w:rFonts w:asciiTheme="minorHAnsi" w:hAnsiTheme="minorHAnsi" w:cstheme="minorHAnsi"/>
          <w:color w:val="000000" w:themeColor="text1"/>
          <w:sz w:val="22"/>
          <w:szCs w:val="22"/>
        </w:rPr>
        <w:t xml:space="preserve"> Jahreszuwachs des Holzgewebes. Hinweis: Die Hölzer der gemäßigten und kälteren Gebiete wachsen im Jahresrhythmus und bilden somit Jahresringe (</w:t>
      </w:r>
      <w:r w:rsidRPr="004963C5">
        <w:rPr>
          <w:rFonts w:asciiTheme="minorHAnsi" w:hAnsiTheme="minorHAnsi" w:cstheme="minorHAnsi"/>
          <w:color w:val="000000" w:themeColor="text1"/>
          <w:sz w:val="22"/>
          <w:szCs w:val="22"/>
        </w:rPr>
        <w:sym w:font="Wingdings 3" w:char="F022"/>
      </w:r>
      <w:r w:rsidRPr="004963C5">
        <w:rPr>
          <w:rFonts w:asciiTheme="minorHAnsi" w:hAnsiTheme="minorHAnsi" w:cstheme="minorHAnsi"/>
          <w:color w:val="000000" w:themeColor="text1"/>
          <w:sz w:val="22"/>
          <w:szCs w:val="22"/>
        </w:rPr>
        <w:t xml:space="preserve"> Zuwachszone)</w:t>
      </w:r>
    </w:p>
    <w:p w:rsidR="006C52DC" w:rsidRPr="004963C5"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proofErr w:type="spellStart"/>
      <w:r w:rsidRPr="004963C5">
        <w:rPr>
          <w:rFonts w:asciiTheme="minorHAnsi" w:hAnsiTheme="minorHAnsi" w:cstheme="minorHAnsi"/>
          <w:b/>
          <w:bCs/>
          <w:color w:val="000000" w:themeColor="text1"/>
          <w:sz w:val="22"/>
          <w:szCs w:val="22"/>
        </w:rPr>
        <w:t>Lumen</w:t>
      </w:r>
      <w:proofErr w:type="spellEnd"/>
      <w:r w:rsidRPr="004963C5">
        <w:rPr>
          <w:rFonts w:asciiTheme="minorHAnsi" w:hAnsiTheme="minorHAnsi" w:cstheme="minorHAnsi"/>
          <w:b/>
          <w:bCs/>
          <w:color w:val="000000" w:themeColor="text1"/>
          <w:sz w:val="22"/>
          <w:szCs w:val="22"/>
        </w:rPr>
        <w:t xml:space="preserve"> (</w:t>
      </w:r>
      <w:proofErr w:type="spellStart"/>
      <w:r w:rsidRPr="004963C5">
        <w:rPr>
          <w:rFonts w:asciiTheme="minorHAnsi" w:hAnsiTheme="minorHAnsi" w:cstheme="minorHAnsi"/>
          <w:b/>
          <w:bCs/>
          <w:color w:val="000000" w:themeColor="text1"/>
          <w:sz w:val="22"/>
          <w:szCs w:val="22"/>
        </w:rPr>
        <w:t>Lumina</w:t>
      </w:r>
      <w:proofErr w:type="spellEnd"/>
      <w:r w:rsidRPr="004963C5">
        <w:rPr>
          <w:rFonts w:asciiTheme="minorHAnsi" w:hAnsiTheme="minorHAnsi" w:cstheme="minorHAnsi"/>
          <w:b/>
          <w:bCs/>
          <w:color w:val="000000" w:themeColor="text1"/>
          <w:sz w:val="22"/>
          <w:szCs w:val="22"/>
        </w:rPr>
        <w:t xml:space="preserve">): </w:t>
      </w:r>
      <w:r w:rsidRPr="004963C5">
        <w:rPr>
          <w:rFonts w:asciiTheme="minorHAnsi" w:hAnsiTheme="minorHAnsi" w:cstheme="minorHAnsi"/>
          <w:color w:val="000000" w:themeColor="text1"/>
          <w:sz w:val="22"/>
          <w:szCs w:val="22"/>
        </w:rPr>
        <w:t>Innenraum (Hohlraum) der Zelle</w:t>
      </w:r>
    </w:p>
    <w:p w:rsidR="006C52DC" w:rsidRPr="004963C5"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sidRPr="004E24B4">
        <w:rPr>
          <w:rFonts w:asciiTheme="minorHAnsi" w:hAnsiTheme="minorHAnsi" w:cstheme="minorHAnsi"/>
          <w:color w:val="000000" w:themeColor="text1"/>
          <w:sz w:val="22"/>
          <w:szCs w:val="22"/>
        </w:rPr>
        <w:t xml:space="preserve"> Gewebe zur Speicherung und Verteilung der Nährstoffe aus </w:t>
      </w:r>
      <w:proofErr w:type="spellStart"/>
      <w:r w:rsidRPr="004E24B4">
        <w:rPr>
          <w:rFonts w:asciiTheme="minorHAnsi" w:hAnsiTheme="minorHAnsi" w:cstheme="minorHAnsi"/>
          <w:color w:val="000000" w:themeColor="text1"/>
          <w:sz w:val="22"/>
          <w:szCs w:val="22"/>
        </w:rPr>
        <w:t>isodiametrischen</w:t>
      </w:r>
      <w:proofErr w:type="spellEnd"/>
      <w:r w:rsidRPr="004E24B4">
        <w:rPr>
          <w:rFonts w:asciiTheme="minorHAnsi" w:hAnsiTheme="minorHAnsi" w:cstheme="minorHAnsi"/>
          <w:color w:val="000000" w:themeColor="text1"/>
          <w:sz w:val="22"/>
          <w:szCs w:val="22"/>
        </w:rPr>
        <w:t xml:space="preserve"> Zellen, die in axialer (Axialparenchym) oder radialer (</w:t>
      </w:r>
      <w:r w:rsidRPr="004E24B4">
        <w:rPr>
          <w:rFonts w:asciiTheme="minorHAnsi" w:hAnsiTheme="minorHAnsi" w:cstheme="minorHAnsi"/>
          <w:color w:val="000000" w:themeColor="text1"/>
          <w:sz w:val="22"/>
          <w:szCs w:val="22"/>
        </w:rPr>
        <w:sym w:font="Wingdings 3" w:char="F022"/>
      </w:r>
      <w:r w:rsidRPr="004E24B4">
        <w:rPr>
          <w:rFonts w:asciiTheme="minorHAnsi" w:hAnsiTheme="minorHAnsi" w:cstheme="minorHAnsi"/>
          <w:color w:val="000000" w:themeColor="text1"/>
          <w:sz w:val="22"/>
          <w:szCs w:val="22"/>
        </w:rPr>
        <w:t xml:space="preserve"> Holzstrahlen) Richtung verlaufen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proofErr w:type="spellStart"/>
      <w:r w:rsidRPr="004E24B4">
        <w:rPr>
          <w:rFonts w:asciiTheme="minorHAnsi" w:hAnsiTheme="minorHAnsi" w:cstheme="minorHAnsi"/>
          <w:b/>
          <w:bCs/>
          <w:color w:val="000000" w:themeColor="text1"/>
          <w:sz w:val="22"/>
          <w:szCs w:val="22"/>
        </w:rPr>
        <w:t>apotracheal</w:t>
      </w:r>
      <w:proofErr w:type="spellEnd"/>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Axiale Speicherzellen ohne direkten Kontakt mit den Gefäßen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proofErr w:type="spellStart"/>
      <w:r w:rsidRPr="004E24B4">
        <w:rPr>
          <w:rFonts w:asciiTheme="minorHAnsi" w:hAnsiTheme="minorHAnsi" w:cstheme="minorHAnsi"/>
          <w:b/>
          <w:bCs/>
          <w:color w:val="000000" w:themeColor="text1"/>
          <w:sz w:val="22"/>
          <w:szCs w:val="22"/>
        </w:rPr>
        <w:t>aliform</w:t>
      </w:r>
      <w:proofErr w:type="spellEnd"/>
      <w:r>
        <w:rPr>
          <w:rFonts w:asciiTheme="minorHAnsi" w:hAnsiTheme="minorHAnsi" w:cstheme="minorHAnsi"/>
          <w:b/>
          <w:bCs/>
          <w:color w:val="000000" w:themeColor="text1"/>
          <w:sz w:val="22"/>
          <w:szCs w:val="22"/>
        </w:rPr>
        <w:t xml:space="preserve"> (rautenförmig)</w:t>
      </w:r>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Speicherzellen die direkt mit den Gefäßen assoziiert sind und eine rauten-</w:t>
      </w:r>
      <w:r>
        <w:rPr>
          <w:rFonts w:asciiTheme="minorHAnsi" w:hAnsiTheme="minorHAnsi" w:cstheme="minorHAnsi"/>
          <w:color w:val="000000" w:themeColor="text1"/>
          <w:sz w:val="22"/>
          <w:szCs w:val="22"/>
        </w:rPr>
        <w:t>(</w:t>
      </w:r>
      <w:r w:rsidRPr="004E24B4">
        <w:rPr>
          <w:rFonts w:asciiTheme="minorHAnsi" w:hAnsiTheme="minorHAnsi" w:cstheme="minorHAnsi"/>
          <w:color w:val="000000" w:themeColor="text1"/>
          <w:sz w:val="22"/>
          <w:szCs w:val="22"/>
        </w:rPr>
        <w:t>augenförmige</w:t>
      </w:r>
      <w:r>
        <w:rPr>
          <w:rFonts w:asciiTheme="minorHAnsi" w:hAnsiTheme="minorHAnsi" w:cstheme="minorHAnsi"/>
          <w:color w:val="000000" w:themeColor="text1"/>
          <w:sz w:val="22"/>
          <w:szCs w:val="22"/>
        </w:rPr>
        <w:t>)</w:t>
      </w:r>
      <w:r w:rsidRPr="004E24B4">
        <w:rPr>
          <w:rFonts w:asciiTheme="minorHAnsi" w:hAnsiTheme="minorHAnsi" w:cstheme="minorHAnsi"/>
          <w:color w:val="000000" w:themeColor="text1"/>
          <w:sz w:val="22"/>
          <w:szCs w:val="22"/>
        </w:rPr>
        <w:t xml:space="preserve"> Ausprägung haben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proofErr w:type="spellStart"/>
      <w:r w:rsidRPr="004E24B4">
        <w:rPr>
          <w:rFonts w:asciiTheme="minorHAnsi" w:hAnsiTheme="minorHAnsi" w:cstheme="minorHAnsi"/>
          <w:b/>
          <w:bCs/>
          <w:color w:val="000000" w:themeColor="text1"/>
          <w:sz w:val="22"/>
          <w:szCs w:val="22"/>
        </w:rPr>
        <w:t>konfluent</w:t>
      </w:r>
      <w:proofErr w:type="spellEnd"/>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Zusammenfließende, flügelförmige Speicherzellen, die im Querschnitt unregelmäßige, tangentiale oder diagonale Bänder bilden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3D3DB6"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r w:rsidRPr="004E24B4">
        <w:rPr>
          <w:rFonts w:asciiTheme="minorHAnsi" w:hAnsiTheme="minorHAnsi" w:cstheme="minorHAnsi"/>
          <w:b/>
          <w:bCs/>
          <w:color w:val="000000" w:themeColor="text1"/>
          <w:sz w:val="22"/>
          <w:szCs w:val="22"/>
        </w:rPr>
        <w:t>diffus</w:t>
      </w:r>
      <w:r>
        <w:rPr>
          <w:rFonts w:asciiTheme="minorHAnsi" w:hAnsiTheme="minorHAnsi" w:cstheme="minorHAnsi"/>
          <w:b/>
          <w:bCs/>
          <w:color w:val="000000" w:themeColor="text1"/>
          <w:sz w:val="22"/>
          <w:szCs w:val="22"/>
        </w:rPr>
        <w:t xml:space="preserve"> und diffus-zoniert</w:t>
      </w:r>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 xml:space="preserve">Einzelne </w:t>
      </w:r>
      <w:proofErr w:type="spellStart"/>
      <w:r w:rsidRPr="004E24B4">
        <w:rPr>
          <w:rFonts w:asciiTheme="minorHAnsi" w:hAnsiTheme="minorHAnsi" w:cstheme="minorHAnsi"/>
          <w:color w:val="000000" w:themeColor="text1"/>
          <w:sz w:val="22"/>
          <w:szCs w:val="22"/>
        </w:rPr>
        <w:t>apotracheale</w:t>
      </w:r>
      <w:proofErr w:type="spellEnd"/>
      <w:r w:rsidRPr="004E24B4">
        <w:rPr>
          <w:rFonts w:asciiTheme="minorHAnsi" w:hAnsiTheme="minorHAnsi" w:cstheme="minorHAnsi"/>
          <w:color w:val="000000" w:themeColor="text1"/>
          <w:sz w:val="22"/>
          <w:szCs w:val="22"/>
        </w:rPr>
        <w:t xml:space="preserve"> </w:t>
      </w:r>
      <w:proofErr w:type="spellStart"/>
      <w:r w:rsidRPr="004E24B4">
        <w:rPr>
          <w:rFonts w:asciiTheme="minorHAnsi" w:hAnsiTheme="minorHAnsi" w:cstheme="minorHAnsi"/>
          <w:color w:val="000000" w:themeColor="text1"/>
          <w:sz w:val="22"/>
          <w:szCs w:val="22"/>
        </w:rPr>
        <w:t>Parenchymstränge</w:t>
      </w:r>
      <w:proofErr w:type="spellEnd"/>
      <w:r w:rsidRPr="004E24B4">
        <w:rPr>
          <w:rFonts w:asciiTheme="minorHAnsi" w:hAnsiTheme="minorHAnsi" w:cstheme="minorHAnsi"/>
          <w:color w:val="000000" w:themeColor="text1"/>
          <w:sz w:val="22"/>
          <w:szCs w:val="22"/>
        </w:rPr>
        <w:t xml:space="preserve"> oder </w:t>
      </w:r>
      <w:r>
        <w:rPr>
          <w:rFonts w:asciiTheme="minorHAnsi" w:hAnsiTheme="minorHAnsi" w:cstheme="minorHAnsi"/>
          <w:color w:val="000000" w:themeColor="text1"/>
          <w:sz w:val="22"/>
          <w:szCs w:val="22"/>
        </w:rPr>
        <w:t>–</w:t>
      </w:r>
      <w:proofErr w:type="spellStart"/>
      <w:r w:rsidRPr="004E24B4">
        <w:rPr>
          <w:rFonts w:asciiTheme="minorHAnsi" w:hAnsiTheme="minorHAnsi" w:cstheme="minorHAnsi"/>
          <w:color w:val="000000" w:themeColor="text1"/>
          <w:sz w:val="22"/>
          <w:szCs w:val="22"/>
        </w:rPr>
        <w:t>zellen</w:t>
      </w:r>
      <w:proofErr w:type="spellEnd"/>
      <w:r>
        <w:rPr>
          <w:rFonts w:asciiTheme="minorHAnsi" w:hAnsiTheme="minorHAnsi" w:cstheme="minorHAnsi"/>
          <w:color w:val="000000" w:themeColor="text1"/>
          <w:sz w:val="22"/>
          <w:szCs w:val="22"/>
        </w:rPr>
        <w:t xml:space="preserve"> (diffus, makroskopisch kaum erkennbar)</w:t>
      </w:r>
      <w:r w:rsidRPr="004E24B4">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bzw. kurze Bändchen (diffus-zoniert) </w:t>
      </w:r>
      <w:r w:rsidRPr="004E24B4">
        <w:rPr>
          <w:rFonts w:asciiTheme="minorHAnsi" w:hAnsiTheme="minorHAnsi" w:cstheme="minorHAnsi"/>
          <w:color w:val="000000" w:themeColor="text1"/>
          <w:sz w:val="22"/>
          <w:szCs w:val="22"/>
        </w:rPr>
        <w:t>die auf dem Querschnitt unregelmäßig zwischen den Fasern zerstreut erscheinen bzw. angeordnet sind</w:t>
      </w:r>
    </w:p>
    <w:p w:rsidR="003D3DB6" w:rsidRPr="004E24B4" w:rsidRDefault="003D3DB6"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proofErr w:type="spellStart"/>
      <w:r>
        <w:rPr>
          <w:rFonts w:asciiTheme="minorHAnsi" w:hAnsiTheme="minorHAnsi" w:cstheme="minorHAnsi"/>
          <w:b/>
          <w:bCs/>
          <w:color w:val="000000" w:themeColor="text1"/>
          <w:sz w:val="22"/>
          <w:szCs w:val="22"/>
        </w:rPr>
        <w:t>aliform</w:t>
      </w:r>
      <w:proofErr w:type="spellEnd"/>
      <w:r>
        <w:rPr>
          <w:rFonts w:asciiTheme="minorHAnsi" w:hAnsiTheme="minorHAnsi" w:cstheme="minorHAnsi"/>
          <w:b/>
          <w:bCs/>
          <w:color w:val="000000" w:themeColor="text1"/>
          <w:sz w:val="22"/>
          <w:szCs w:val="22"/>
        </w:rPr>
        <w:t xml:space="preserve"> (</w:t>
      </w:r>
      <w:r w:rsidRPr="004E24B4">
        <w:rPr>
          <w:rFonts w:asciiTheme="minorHAnsi" w:hAnsiTheme="minorHAnsi" w:cstheme="minorHAnsi"/>
          <w:b/>
          <w:bCs/>
          <w:color w:val="000000" w:themeColor="text1"/>
          <w:sz w:val="22"/>
          <w:szCs w:val="22"/>
        </w:rPr>
        <w:t>flügelförmig</w:t>
      </w:r>
      <w:r>
        <w:rPr>
          <w:rFonts w:asciiTheme="minorHAnsi" w:hAnsiTheme="minorHAnsi" w:cstheme="minorHAnsi"/>
          <w:b/>
          <w:bCs/>
          <w:color w:val="000000" w:themeColor="text1"/>
          <w:sz w:val="22"/>
          <w:szCs w:val="22"/>
        </w:rPr>
        <w:t>)</w:t>
      </w:r>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Speicherzellen die direkt mit den Gefäßen assoziiert sind und eine flügelförmige Ausprägung haben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r w:rsidRPr="004E24B4">
        <w:rPr>
          <w:rFonts w:asciiTheme="minorHAnsi" w:hAnsiTheme="minorHAnsi" w:cstheme="minorHAnsi"/>
          <w:b/>
          <w:bCs/>
          <w:color w:val="000000" w:themeColor="text1"/>
          <w:sz w:val="22"/>
          <w:szCs w:val="22"/>
        </w:rPr>
        <w:t xml:space="preserve">gebändert: </w:t>
      </w:r>
      <w:r w:rsidRPr="004E24B4">
        <w:rPr>
          <w:rFonts w:asciiTheme="minorHAnsi" w:hAnsiTheme="minorHAnsi" w:cstheme="minorHAnsi"/>
          <w:color w:val="000000" w:themeColor="text1"/>
          <w:sz w:val="22"/>
          <w:szCs w:val="22"/>
        </w:rPr>
        <w:t>Axiale Speicherzellen, die im Querschnitt konzentrische Reihen oder Bänder bilden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r w:rsidRPr="004E24B4">
        <w:rPr>
          <w:rFonts w:asciiTheme="minorHAnsi" w:hAnsiTheme="minorHAnsi" w:cstheme="minorHAnsi"/>
          <w:b/>
          <w:bCs/>
          <w:color w:val="000000" w:themeColor="text1"/>
          <w:sz w:val="22"/>
          <w:szCs w:val="22"/>
        </w:rPr>
        <w:t xml:space="preserve">leiterförmig: </w:t>
      </w:r>
      <w:r w:rsidRPr="004E24B4">
        <w:rPr>
          <w:rFonts w:asciiTheme="minorHAnsi" w:hAnsiTheme="minorHAnsi" w:cstheme="minorHAnsi"/>
          <w:color w:val="000000" w:themeColor="text1"/>
          <w:sz w:val="22"/>
          <w:szCs w:val="22"/>
        </w:rPr>
        <w:t xml:space="preserve">Anordnung von axialen </w:t>
      </w:r>
      <w:proofErr w:type="spellStart"/>
      <w:r w:rsidRPr="004E24B4">
        <w:rPr>
          <w:rFonts w:asciiTheme="minorHAnsi" w:hAnsiTheme="minorHAnsi" w:cstheme="minorHAnsi"/>
          <w:color w:val="000000" w:themeColor="text1"/>
          <w:sz w:val="22"/>
          <w:szCs w:val="22"/>
        </w:rPr>
        <w:t>Parenchymbändern</w:t>
      </w:r>
      <w:proofErr w:type="spellEnd"/>
      <w:r w:rsidRPr="004E24B4">
        <w:rPr>
          <w:rFonts w:asciiTheme="minorHAnsi" w:hAnsiTheme="minorHAnsi" w:cstheme="minorHAnsi"/>
          <w:color w:val="000000" w:themeColor="text1"/>
          <w:sz w:val="22"/>
          <w:szCs w:val="22"/>
        </w:rPr>
        <w:t xml:space="preserve">, die mit den Holzstrahlen ein leiterartiges Muster bilden, wobei die Holzstrahlen breiter sind. Der Abstand der Holzstrahlen zueinander ist in diesem Fall größer als der Abstand zwischen den einzelnen axialen </w:t>
      </w:r>
      <w:proofErr w:type="spellStart"/>
      <w:r w:rsidRPr="004E24B4">
        <w:rPr>
          <w:rFonts w:asciiTheme="minorHAnsi" w:hAnsiTheme="minorHAnsi" w:cstheme="minorHAnsi"/>
          <w:color w:val="000000" w:themeColor="text1"/>
          <w:sz w:val="22"/>
          <w:szCs w:val="22"/>
        </w:rPr>
        <w:t>Parenchymbändern</w:t>
      </w:r>
      <w:proofErr w:type="spellEnd"/>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r w:rsidRPr="004E24B4">
        <w:rPr>
          <w:rFonts w:asciiTheme="minorHAnsi" w:hAnsiTheme="minorHAnsi" w:cstheme="minorHAnsi"/>
          <w:b/>
          <w:bCs/>
          <w:color w:val="000000" w:themeColor="text1"/>
          <w:sz w:val="22"/>
          <w:szCs w:val="22"/>
        </w:rPr>
        <w:t xml:space="preserve">marginal: </w:t>
      </w:r>
      <w:r w:rsidR="003D3DB6" w:rsidRPr="004E24B4">
        <w:rPr>
          <w:rFonts w:asciiTheme="minorHAnsi" w:hAnsiTheme="minorHAnsi" w:cstheme="minorHAnsi"/>
          <w:color w:val="000000" w:themeColor="text1"/>
          <w:sz w:val="22"/>
          <w:szCs w:val="22"/>
        </w:rPr>
        <w:t xml:space="preserve">Zumeist bandförmige Speicherzellen am Ende </w:t>
      </w:r>
      <w:r w:rsidR="003D3DB6">
        <w:rPr>
          <w:rFonts w:asciiTheme="minorHAnsi" w:hAnsiTheme="minorHAnsi" w:cstheme="minorHAnsi"/>
          <w:color w:val="000000" w:themeColor="text1"/>
          <w:sz w:val="22"/>
          <w:szCs w:val="22"/>
        </w:rPr>
        <w:t>(terminal) oder Beginn (</w:t>
      </w:r>
      <w:proofErr w:type="spellStart"/>
      <w:r w:rsidR="003D3DB6">
        <w:rPr>
          <w:rFonts w:asciiTheme="minorHAnsi" w:hAnsiTheme="minorHAnsi" w:cstheme="minorHAnsi"/>
          <w:color w:val="000000" w:themeColor="text1"/>
          <w:sz w:val="22"/>
          <w:szCs w:val="22"/>
        </w:rPr>
        <w:t>initial</w:t>
      </w:r>
      <w:proofErr w:type="spellEnd"/>
      <w:r w:rsidR="003D3DB6">
        <w:rPr>
          <w:rFonts w:asciiTheme="minorHAnsi" w:hAnsiTheme="minorHAnsi" w:cstheme="minorHAnsi"/>
          <w:color w:val="000000" w:themeColor="text1"/>
          <w:sz w:val="22"/>
          <w:szCs w:val="22"/>
        </w:rPr>
        <w:t xml:space="preserve">) </w:t>
      </w:r>
      <w:r w:rsidR="003D3DB6" w:rsidRPr="004E24B4">
        <w:rPr>
          <w:rFonts w:asciiTheme="minorHAnsi" w:hAnsiTheme="minorHAnsi" w:cstheme="minorHAnsi"/>
          <w:color w:val="000000" w:themeColor="text1"/>
          <w:sz w:val="22"/>
          <w:szCs w:val="22"/>
        </w:rPr>
        <w:t>einer Wachstumsperiode, die eine</w:t>
      </w:r>
      <w:r w:rsidR="003D3DB6">
        <w:rPr>
          <w:rFonts w:asciiTheme="minorHAnsi" w:hAnsiTheme="minorHAnsi" w:cstheme="minorHAnsi"/>
          <w:color w:val="000000" w:themeColor="text1"/>
          <w:sz w:val="22"/>
          <w:szCs w:val="22"/>
        </w:rPr>
        <w:t xml:space="preserve"> </w:t>
      </w:r>
      <w:r w:rsidR="003D3DB6" w:rsidRPr="004E24B4">
        <w:rPr>
          <w:rFonts w:asciiTheme="minorHAnsi" w:hAnsiTheme="minorHAnsi" w:cstheme="minorHAnsi"/>
          <w:color w:val="000000" w:themeColor="text1"/>
          <w:sz w:val="22"/>
          <w:szCs w:val="22"/>
        </w:rPr>
        <w:t>Zuwachszone markieren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F85792">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r w:rsidRPr="00F85792">
        <w:rPr>
          <w:rFonts w:asciiTheme="minorHAnsi" w:hAnsiTheme="minorHAnsi" w:cstheme="minorHAnsi"/>
          <w:b/>
          <w:bCs/>
          <w:color w:val="000000" w:themeColor="text1"/>
          <w:sz w:val="22"/>
          <w:szCs w:val="22"/>
        </w:rPr>
        <w:t xml:space="preserve">netzförmig: </w:t>
      </w:r>
      <w:r w:rsidRPr="00F85792">
        <w:rPr>
          <w:rFonts w:asciiTheme="minorHAnsi" w:hAnsiTheme="minorHAnsi" w:cstheme="minorHAnsi"/>
          <w:color w:val="000000" w:themeColor="text1"/>
          <w:sz w:val="22"/>
          <w:szCs w:val="22"/>
        </w:rPr>
        <w:t xml:space="preserve">Anordnung von axialen </w:t>
      </w:r>
      <w:proofErr w:type="spellStart"/>
      <w:r w:rsidRPr="00F85792">
        <w:rPr>
          <w:rFonts w:asciiTheme="minorHAnsi" w:hAnsiTheme="minorHAnsi" w:cstheme="minorHAnsi"/>
          <w:color w:val="000000" w:themeColor="text1"/>
          <w:sz w:val="22"/>
          <w:szCs w:val="22"/>
        </w:rPr>
        <w:t>Parenchymbändern</w:t>
      </w:r>
      <w:proofErr w:type="spellEnd"/>
      <w:r w:rsidRPr="00F85792">
        <w:rPr>
          <w:rFonts w:asciiTheme="minorHAnsi" w:hAnsiTheme="minorHAnsi" w:cstheme="minorHAnsi"/>
          <w:color w:val="000000" w:themeColor="text1"/>
          <w:sz w:val="22"/>
          <w:szCs w:val="22"/>
        </w:rPr>
        <w:t xml:space="preserve">, die mit den Holzstrahlen ein netzförmiges Muster bilden. Die Holzstrahlen und axialen </w:t>
      </w:r>
      <w:proofErr w:type="spellStart"/>
      <w:r w:rsidRPr="00F85792">
        <w:rPr>
          <w:rFonts w:asciiTheme="minorHAnsi" w:hAnsiTheme="minorHAnsi" w:cstheme="minorHAnsi"/>
          <w:color w:val="000000" w:themeColor="text1"/>
          <w:sz w:val="22"/>
          <w:szCs w:val="22"/>
        </w:rPr>
        <w:t>Parenchymbänder</w:t>
      </w:r>
      <w:proofErr w:type="spellEnd"/>
      <w:r w:rsidRPr="00F85792">
        <w:rPr>
          <w:rFonts w:asciiTheme="minorHAnsi" w:hAnsiTheme="minorHAnsi" w:cstheme="minorHAnsi"/>
          <w:color w:val="000000" w:themeColor="text1"/>
          <w:sz w:val="22"/>
          <w:szCs w:val="22"/>
        </w:rPr>
        <w:t xml:space="preserve"> haben ungefähr dieselbe Breite</w:t>
      </w:r>
    </w:p>
    <w:p w:rsidR="006C52DC" w:rsidRPr="00F85792"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Parenchym, paratracheal</w:t>
      </w:r>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Axiale Speicherzellen in direktem Kontakt mit den Gefäßen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Parenchym</w:t>
      </w:r>
      <w:r>
        <w:rPr>
          <w:rFonts w:asciiTheme="minorHAnsi" w:hAnsiTheme="minorHAnsi" w:cstheme="minorHAnsi"/>
          <w:b/>
          <w:bCs/>
          <w:color w:val="000000" w:themeColor="text1"/>
          <w:sz w:val="22"/>
          <w:szCs w:val="22"/>
        </w:rPr>
        <w:t xml:space="preserve">, </w:t>
      </w:r>
      <w:proofErr w:type="spellStart"/>
      <w:r w:rsidRPr="004E24B4">
        <w:rPr>
          <w:rFonts w:asciiTheme="minorHAnsi" w:hAnsiTheme="minorHAnsi" w:cstheme="minorHAnsi"/>
          <w:b/>
          <w:bCs/>
          <w:color w:val="000000" w:themeColor="text1"/>
          <w:sz w:val="22"/>
          <w:szCs w:val="22"/>
        </w:rPr>
        <w:t>vasizentrisch</w:t>
      </w:r>
      <w:proofErr w:type="spellEnd"/>
      <w:r w:rsidRPr="004E24B4">
        <w:rPr>
          <w:rFonts w:asciiTheme="minorHAnsi" w:hAnsiTheme="minorHAnsi" w:cstheme="minorHAnsi"/>
          <w:b/>
          <w:bCs/>
          <w:color w:val="000000" w:themeColor="text1"/>
          <w:sz w:val="22"/>
          <w:szCs w:val="22"/>
        </w:rPr>
        <w:t xml:space="preserve">: </w:t>
      </w:r>
      <w:r w:rsidRPr="004E24B4">
        <w:rPr>
          <w:rFonts w:asciiTheme="minorHAnsi" w:hAnsiTheme="minorHAnsi" w:cstheme="minorHAnsi"/>
          <w:color w:val="000000" w:themeColor="text1"/>
          <w:sz w:val="22"/>
          <w:szCs w:val="22"/>
        </w:rPr>
        <w:t>Speicherzellen die direkt mit den Gefäßen assoziiert sind und eine vollständig runde bis ovale Scheide ausbilden</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Splintholz:</w:t>
      </w:r>
      <w:r w:rsidRPr="004E24B4">
        <w:rPr>
          <w:rFonts w:asciiTheme="minorHAnsi" w:hAnsiTheme="minorHAnsi" w:cstheme="minorHAnsi"/>
          <w:color w:val="000000" w:themeColor="text1"/>
          <w:sz w:val="22"/>
          <w:szCs w:val="22"/>
        </w:rPr>
        <w:t xml:space="preserve"> </w:t>
      </w:r>
      <w:r w:rsidRPr="002341AA">
        <w:rPr>
          <w:rFonts w:asciiTheme="minorHAnsi" w:hAnsiTheme="minorHAnsi" w:cstheme="minorHAnsi"/>
          <w:color w:val="000000" w:themeColor="text1"/>
          <w:sz w:val="22"/>
          <w:szCs w:val="22"/>
        </w:rPr>
        <w:t>Der an der Wasser- und Nährstoffleitung beteiligte äußere Teil des Holzgewebes im lebenden Baum, der lebende Zellen und Reservestoffe enthält (</w:t>
      </w:r>
      <w:r w:rsidRPr="002341AA">
        <w:rPr>
          <w:rFonts w:asciiTheme="minorHAnsi" w:hAnsiTheme="minorHAnsi" w:cstheme="minorHAnsi"/>
          <w:color w:val="000000" w:themeColor="text1"/>
          <w:sz w:val="22"/>
          <w:szCs w:val="22"/>
          <w:lang w:val="en-GB"/>
        </w:rPr>
        <w:sym w:font="Wingdings 3" w:char="F022"/>
      </w:r>
      <w:r w:rsidRPr="002341AA">
        <w:rPr>
          <w:rFonts w:asciiTheme="minorHAnsi" w:hAnsiTheme="minorHAnsi" w:cstheme="minorHAnsi"/>
          <w:color w:val="000000" w:themeColor="text1"/>
          <w:sz w:val="22"/>
          <w:szCs w:val="22"/>
        </w:rPr>
        <w:t xml:space="preserve"> Farbkernholz, Kernholz)</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4E24B4">
        <w:rPr>
          <w:rFonts w:asciiTheme="minorHAnsi" w:hAnsiTheme="minorHAnsi" w:cstheme="minorHAnsi"/>
          <w:b/>
          <w:bCs/>
          <w:color w:val="000000" w:themeColor="text1"/>
          <w:sz w:val="22"/>
          <w:szCs w:val="22"/>
        </w:rPr>
        <w:t>Stockwerkbau:</w:t>
      </w:r>
      <w:r w:rsidRPr="004E24B4">
        <w:rPr>
          <w:rFonts w:asciiTheme="minorHAnsi" w:hAnsiTheme="minorHAnsi" w:cstheme="minorHAnsi"/>
          <w:color w:val="000000" w:themeColor="text1"/>
          <w:sz w:val="22"/>
          <w:szCs w:val="22"/>
        </w:rPr>
        <w:t xml:space="preserve"> Spezielle Anordnung von axialen Zellen und Holzstrahlen, die in der tangentialen Ebene in horizontalen Bändern angeordnet sind. Die stockwerkartige Textur erzeugt eine horizontale </w:t>
      </w:r>
      <w:proofErr w:type="spellStart"/>
      <w:r w:rsidRPr="004E24B4">
        <w:rPr>
          <w:rFonts w:asciiTheme="minorHAnsi" w:hAnsiTheme="minorHAnsi" w:cstheme="minorHAnsi"/>
          <w:color w:val="000000" w:themeColor="text1"/>
          <w:sz w:val="22"/>
          <w:szCs w:val="22"/>
        </w:rPr>
        <w:t>Streifung</w:t>
      </w:r>
      <w:proofErr w:type="spellEnd"/>
      <w:r w:rsidRPr="004E24B4">
        <w:rPr>
          <w:rFonts w:asciiTheme="minorHAnsi" w:hAnsiTheme="minorHAnsi" w:cstheme="minorHAnsi"/>
          <w:color w:val="000000" w:themeColor="text1"/>
          <w:sz w:val="22"/>
          <w:szCs w:val="22"/>
        </w:rPr>
        <w:t xml:space="preserve"> (Rippelmarken), die mit bloßem Auge sichtbar ist</w:t>
      </w:r>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Default="006C52DC" w:rsidP="006C52DC">
      <w:pPr>
        <w:pStyle w:val="StandardWeb"/>
        <w:spacing w:before="0" w:beforeAutospacing="0" w:after="0" w:afterAutospacing="0"/>
        <w:rPr>
          <w:rFonts w:asciiTheme="minorHAnsi" w:hAnsiTheme="minorHAnsi" w:cstheme="minorHAnsi"/>
          <w:color w:val="000000" w:themeColor="text1"/>
          <w:sz w:val="22"/>
          <w:szCs w:val="22"/>
        </w:rPr>
      </w:pPr>
      <w:proofErr w:type="spellStart"/>
      <w:r w:rsidRPr="004E24B4">
        <w:rPr>
          <w:rFonts w:asciiTheme="minorHAnsi" w:hAnsiTheme="minorHAnsi" w:cstheme="minorHAnsi"/>
          <w:b/>
          <w:bCs/>
          <w:color w:val="000000" w:themeColor="text1"/>
          <w:sz w:val="22"/>
          <w:szCs w:val="22"/>
        </w:rPr>
        <w:t>Thyllen</w:t>
      </w:r>
      <w:proofErr w:type="spellEnd"/>
      <w:r w:rsidRPr="004E24B4">
        <w:rPr>
          <w:rFonts w:asciiTheme="minorHAnsi" w:hAnsiTheme="minorHAnsi" w:cstheme="minorHAnsi"/>
          <w:b/>
          <w:bCs/>
          <w:color w:val="000000" w:themeColor="text1"/>
          <w:sz w:val="22"/>
          <w:szCs w:val="22"/>
        </w:rPr>
        <w:t>:</w:t>
      </w:r>
      <w:r w:rsidRPr="004E24B4">
        <w:rPr>
          <w:rFonts w:asciiTheme="minorHAnsi" w:hAnsiTheme="minorHAnsi" w:cstheme="minorHAnsi"/>
          <w:color w:val="000000" w:themeColor="text1"/>
          <w:sz w:val="22"/>
          <w:szCs w:val="22"/>
        </w:rPr>
        <w:t xml:space="preserve"> Auswüchse von einer angrenzenden Holzstrahl- oder </w:t>
      </w:r>
      <w:proofErr w:type="spellStart"/>
      <w:r w:rsidRPr="004E24B4">
        <w:rPr>
          <w:rFonts w:asciiTheme="minorHAnsi" w:hAnsiTheme="minorHAnsi" w:cstheme="minorHAnsi"/>
          <w:color w:val="000000" w:themeColor="text1"/>
          <w:sz w:val="22"/>
          <w:szCs w:val="22"/>
        </w:rPr>
        <w:t>Axialparenchymzelle</w:t>
      </w:r>
      <w:proofErr w:type="spellEnd"/>
      <w:r w:rsidRPr="004E24B4">
        <w:rPr>
          <w:rFonts w:asciiTheme="minorHAnsi" w:hAnsiTheme="minorHAnsi" w:cstheme="minorHAnsi"/>
          <w:color w:val="000000" w:themeColor="text1"/>
          <w:sz w:val="22"/>
          <w:szCs w:val="22"/>
        </w:rPr>
        <w:t xml:space="preserve"> über Tüpfel in die Gefäße. Die Gefäße werden dadurch teilweise oder vollständig blockiert. Die Bildung von </w:t>
      </w:r>
      <w:proofErr w:type="spellStart"/>
      <w:r w:rsidRPr="004E24B4">
        <w:rPr>
          <w:rFonts w:asciiTheme="minorHAnsi" w:hAnsiTheme="minorHAnsi" w:cstheme="minorHAnsi"/>
          <w:color w:val="000000" w:themeColor="text1"/>
          <w:sz w:val="22"/>
          <w:szCs w:val="22"/>
        </w:rPr>
        <w:t>Thyllen</w:t>
      </w:r>
      <w:proofErr w:type="spellEnd"/>
      <w:r w:rsidRPr="004E24B4">
        <w:rPr>
          <w:rFonts w:asciiTheme="minorHAnsi" w:hAnsiTheme="minorHAnsi" w:cstheme="minorHAnsi"/>
          <w:color w:val="000000" w:themeColor="text1"/>
          <w:sz w:val="22"/>
          <w:szCs w:val="22"/>
        </w:rPr>
        <w:t xml:space="preserve"> ist eine Begleiterscheinung der </w:t>
      </w:r>
      <w:proofErr w:type="spellStart"/>
      <w:r w:rsidRPr="004E24B4">
        <w:rPr>
          <w:rFonts w:asciiTheme="minorHAnsi" w:hAnsiTheme="minorHAnsi" w:cstheme="minorHAnsi"/>
          <w:color w:val="000000" w:themeColor="text1"/>
          <w:sz w:val="22"/>
          <w:szCs w:val="22"/>
        </w:rPr>
        <w:t>Verkernung</w:t>
      </w:r>
      <w:proofErr w:type="spellEnd"/>
    </w:p>
    <w:p w:rsidR="006C52DC" w:rsidRPr="004E24B4" w:rsidRDefault="006C52DC" w:rsidP="006C52DC">
      <w:pPr>
        <w:pStyle w:val="StandardWeb"/>
        <w:spacing w:before="0" w:beforeAutospacing="0" w:after="0" w:afterAutospacing="0"/>
        <w:rPr>
          <w:rFonts w:asciiTheme="minorHAnsi" w:hAnsiTheme="minorHAnsi" w:cstheme="minorHAnsi"/>
          <w:color w:val="000000" w:themeColor="text1"/>
          <w:sz w:val="22"/>
          <w:szCs w:val="22"/>
        </w:rPr>
      </w:pPr>
    </w:p>
    <w:p w:rsidR="006C52DC" w:rsidRPr="00F85792" w:rsidRDefault="006C52DC" w:rsidP="006C52DC">
      <w:pPr>
        <w:pStyle w:val="StandardWeb"/>
        <w:spacing w:before="0" w:beforeAutospacing="0" w:after="0" w:afterAutospacing="0"/>
        <w:rPr>
          <w:rFonts w:asciiTheme="minorHAnsi" w:hAnsiTheme="minorHAnsi" w:cstheme="minorHAnsi"/>
          <w:color w:val="000000" w:themeColor="text1"/>
          <w:sz w:val="22"/>
          <w:szCs w:val="22"/>
        </w:rPr>
      </w:pPr>
      <w:r w:rsidRPr="00F85792">
        <w:rPr>
          <w:rFonts w:asciiTheme="minorHAnsi" w:hAnsiTheme="minorHAnsi" w:cstheme="minorHAnsi"/>
          <w:b/>
          <w:bCs/>
          <w:color w:val="000000" w:themeColor="text1"/>
          <w:sz w:val="22"/>
          <w:szCs w:val="22"/>
        </w:rPr>
        <w:t xml:space="preserve">Zuwachszone: </w:t>
      </w:r>
      <w:r w:rsidRPr="00F85792">
        <w:rPr>
          <w:rFonts w:asciiTheme="minorHAnsi" w:hAnsiTheme="minorHAnsi" w:cstheme="minorHAnsi"/>
          <w:color w:val="000000" w:themeColor="text1"/>
          <w:sz w:val="22"/>
          <w:szCs w:val="22"/>
        </w:rPr>
        <w:t xml:space="preserve">Holzzuwachs während der Vegetationsperiode. Die Hölzer der gemäßigten und kälteren Gebiete wachsen im Jahresrhythmus und bilden somit Jahresringe. Die Zuwachsrhythmik von Tropenhölzern ist durch den Wechsel von Feucht- und Trockenzeiten bestimmt, der nur einmal im Jahr (Jahresrhythmus) oder mehrere Male auftreten kann. Je nach Anzahl der Regenzeiten können auch mehrere Zuwachszonen innerhalb eines Jahres beobachtet werden. Die Zuwachszonen der tropischen Holzarten entsprechen also nicht </w:t>
      </w:r>
      <w:r>
        <w:rPr>
          <w:rFonts w:asciiTheme="minorHAnsi" w:hAnsiTheme="minorHAnsi" w:cstheme="minorHAnsi"/>
          <w:color w:val="000000" w:themeColor="text1"/>
          <w:sz w:val="22"/>
          <w:szCs w:val="22"/>
        </w:rPr>
        <w:t xml:space="preserve">notwendigerweise </w:t>
      </w:r>
      <w:r w:rsidRPr="00F85792">
        <w:rPr>
          <w:rFonts w:asciiTheme="minorHAnsi" w:hAnsiTheme="minorHAnsi" w:cstheme="minorHAnsi"/>
          <w:color w:val="000000" w:themeColor="text1"/>
          <w:sz w:val="22"/>
          <w:szCs w:val="22"/>
        </w:rPr>
        <w:t>Jahresringen</w:t>
      </w:r>
    </w:p>
    <w:p w:rsidR="006C52DC" w:rsidRDefault="006C52DC"/>
    <w:sectPr w:rsidR="006C52DC" w:rsidSect="00A46780">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proofState w:spelling="clean" w:grammar="clean"/>
  <w:defaultTabStop w:val="708"/>
  <w:hyphenationZone w:val="425"/>
  <w:characterSpacingControl w:val="doNotCompress"/>
  <w:compat/>
  <w:rsids>
    <w:rsidRoot w:val="006C52DC"/>
    <w:rsid w:val="003D3DB6"/>
    <w:rsid w:val="006C52DC"/>
    <w:rsid w:val="00A46780"/>
    <w:rsid w:val="00FD0A9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4678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6C52DC"/>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4993</Characters>
  <Application>Microsoft Office Word</Application>
  <DocSecurity>0</DocSecurity>
  <Lines>41</Lines>
  <Paragraphs>11</Paragraphs>
  <ScaleCrop>false</ScaleCrop>
  <Company/>
  <LinksUpToDate>false</LinksUpToDate>
  <CharactersWithSpaces>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Jorgo</dc:creator>
  <cp:lastModifiedBy>Jorgo</cp:lastModifiedBy>
  <cp:revision>2</cp:revision>
  <dcterms:created xsi:type="dcterms:W3CDTF">2019-12-15T16:08:00Z</dcterms:created>
  <dcterms:modified xsi:type="dcterms:W3CDTF">2019-12-15T18:37:00Z</dcterms:modified>
</cp:coreProperties>
</file>